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center"/>
        <w:textAlignment w:val="baseline"/>
        <w:outlineLvl w:val="0"/>
        <w:rPr>
          <w:rFonts w:ascii="Adobe 黑体 Std R" w:hAnsi="Adobe 黑体 Std R" w:eastAsia="Adobe 黑体 Std R"/>
          <w:bCs/>
          <w:sz w:val="72"/>
          <w:szCs w:val="72"/>
        </w:rPr>
      </w:pPr>
      <w:bookmarkStart w:id="0" w:name="_Toc209852933"/>
      <w:bookmarkStart w:id="1" w:name="_Toc9066358"/>
    </w:p>
    <w:p>
      <w:pPr>
        <w:tabs>
          <w:tab w:val="left" w:pos="3150"/>
        </w:tabs>
        <w:spacing w:line="360" w:lineRule="auto"/>
        <w:jc w:val="center"/>
        <w:rPr>
          <w:rFonts w:ascii="宋体" w:hAnsi="宋体" w:eastAsia="宋体" w:cs="Times New Roman"/>
          <w:b/>
          <w:sz w:val="72"/>
          <w:szCs w:val="72"/>
        </w:rPr>
      </w:pPr>
      <w:r>
        <w:rPr>
          <w:rFonts w:hint="eastAsia" w:ascii="宋体" w:hAnsi="宋体" w:eastAsia="宋体" w:cs="Times New Roman"/>
          <w:b/>
          <w:sz w:val="72"/>
          <w:szCs w:val="72"/>
        </w:rPr>
        <w:t>上海市中医医院</w:t>
      </w:r>
    </w:p>
    <w:p>
      <w:pPr>
        <w:adjustRightInd w:val="0"/>
        <w:spacing w:line="360" w:lineRule="auto"/>
        <w:jc w:val="center"/>
        <w:textAlignment w:val="baseline"/>
        <w:outlineLvl w:val="0"/>
        <w:rPr>
          <w:rFonts w:ascii="宋体" w:hAnsi="宋体" w:eastAsia="宋体" w:cs="Times New Roman"/>
          <w:b/>
          <w:sz w:val="72"/>
          <w:szCs w:val="72"/>
        </w:rPr>
      </w:pPr>
      <w:r>
        <w:rPr>
          <w:rFonts w:hint="eastAsia" w:ascii="宋体" w:hAnsi="宋体" w:eastAsia="宋体" w:cs="Times New Roman"/>
          <w:b/>
          <w:sz w:val="72"/>
          <w:szCs w:val="72"/>
        </w:rPr>
        <w:t>院内招标</w:t>
      </w:r>
      <w:r>
        <w:rPr>
          <w:rFonts w:ascii="宋体" w:hAnsi="宋体" w:eastAsia="宋体" w:cs="Times New Roman"/>
          <w:b/>
          <w:sz w:val="72"/>
          <w:szCs w:val="72"/>
        </w:rPr>
        <w:t>文件</w:t>
      </w:r>
      <w:bookmarkEnd w:id="0"/>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52"/>
          <w:szCs w:val="52"/>
        </w:rPr>
      </w:pPr>
      <w:r>
        <w:rPr>
          <w:rFonts w:hint="eastAsia" w:ascii="宋体" w:hAnsi="宋体" w:eastAsia="宋体" w:cs="Times New Roman"/>
          <w:b/>
          <w:sz w:val="48"/>
          <w:szCs w:val="48"/>
        </w:rPr>
        <w:t>测序反应通用试剂盒</w:t>
      </w:r>
      <w:r>
        <w:rPr>
          <w:rFonts w:hint="eastAsia" w:ascii="宋体" w:hAnsi="宋体" w:eastAsia="宋体" w:cs="Times New Roman"/>
          <w:b/>
          <w:sz w:val="48"/>
          <w:szCs w:val="48"/>
          <w:lang w:val="en-US" w:eastAsia="zh-CN"/>
        </w:rPr>
        <w:t>等</w:t>
      </w:r>
      <w:r>
        <w:rPr>
          <w:rFonts w:hint="eastAsia" w:ascii="宋体" w:hAnsi="宋体" w:eastAsia="宋体" w:cs="Times New Roman"/>
          <w:b/>
          <w:sz w:val="48"/>
          <w:szCs w:val="48"/>
        </w:rPr>
        <w:t>询价通知书</w:t>
      </w: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bCs/>
          <w:sz w:val="36"/>
          <w:szCs w:val="36"/>
          <w:highlight w:val="none"/>
        </w:rPr>
      </w:pPr>
      <w:r>
        <w:rPr>
          <w:rFonts w:ascii="宋体" w:hAnsi="宋体" w:eastAsia="宋体" w:cs="Times New Roman"/>
          <w:b/>
          <w:sz w:val="36"/>
          <w:szCs w:val="36"/>
          <w:highlight w:val="none"/>
        </w:rPr>
        <w:t>202</w:t>
      </w:r>
      <w:r>
        <w:rPr>
          <w:rFonts w:hint="eastAsia" w:ascii="宋体" w:hAnsi="宋体" w:eastAsia="宋体" w:cs="Times New Roman"/>
          <w:b/>
          <w:sz w:val="36"/>
          <w:szCs w:val="36"/>
          <w:highlight w:val="none"/>
          <w:lang w:val="en-US" w:eastAsia="zh-CN"/>
        </w:rPr>
        <w:t>5</w:t>
      </w:r>
      <w:r>
        <w:rPr>
          <w:rFonts w:ascii="宋体" w:hAnsi="宋体" w:eastAsia="宋体" w:cs="Times New Roman"/>
          <w:b/>
          <w:sz w:val="36"/>
          <w:szCs w:val="36"/>
          <w:highlight w:val="none"/>
        </w:rPr>
        <w:t>年</w:t>
      </w:r>
      <w:r>
        <w:rPr>
          <w:rFonts w:hint="eastAsia" w:ascii="宋体" w:hAnsi="宋体" w:eastAsia="宋体" w:cs="Times New Roman"/>
          <w:b/>
          <w:sz w:val="36"/>
          <w:szCs w:val="36"/>
          <w:highlight w:val="none"/>
          <w:lang w:val="en-US" w:eastAsia="zh-CN"/>
        </w:rPr>
        <w:t>8</w:t>
      </w:r>
      <w:r>
        <w:rPr>
          <w:rFonts w:ascii="宋体" w:hAnsi="宋体" w:eastAsia="宋体" w:cs="Times New Roman"/>
          <w:b/>
          <w:sz w:val="36"/>
          <w:szCs w:val="36"/>
          <w:highlight w:val="none"/>
        </w:rPr>
        <w:t>月</w:t>
      </w:r>
      <w:r>
        <w:rPr>
          <w:rFonts w:hint="eastAsia" w:ascii="宋体" w:hAnsi="宋体" w:eastAsia="宋体" w:cs="Times New Roman"/>
          <w:b/>
          <w:sz w:val="36"/>
          <w:szCs w:val="36"/>
          <w:highlight w:val="none"/>
          <w:lang w:val="en-US" w:eastAsia="zh-CN"/>
        </w:rPr>
        <w:t>27</w:t>
      </w:r>
      <w:r>
        <w:rPr>
          <w:rFonts w:ascii="宋体" w:hAnsi="宋体" w:eastAsia="宋体" w:cs="Times New Roman"/>
          <w:b/>
          <w:sz w:val="36"/>
          <w:szCs w:val="36"/>
          <w:highlight w:val="none"/>
        </w:rPr>
        <w:t>日</w:t>
      </w:r>
    </w:p>
    <w:p>
      <w:pPr>
        <w:pageBreakBefore/>
        <w:tabs>
          <w:tab w:val="left" w:pos="2730"/>
        </w:tabs>
        <w:spacing w:line="360" w:lineRule="auto"/>
        <w:ind w:left="964" w:hanging="960" w:hangingChars="200"/>
        <w:jc w:val="center"/>
        <w:rPr>
          <w:rFonts w:ascii="宋体" w:hAnsi="宋体" w:eastAsia="宋体" w:cs="Times New Roman"/>
          <w:b/>
          <w:bCs/>
          <w:sz w:val="48"/>
          <w:szCs w:val="20"/>
        </w:rPr>
      </w:pPr>
    </w:p>
    <w:p>
      <w:pPr>
        <w:spacing w:line="360" w:lineRule="auto"/>
        <w:ind w:left="964" w:hanging="960" w:hangingChars="200"/>
        <w:jc w:val="center"/>
        <w:rPr>
          <w:rFonts w:ascii="宋体" w:hAnsi="宋体" w:eastAsia="宋体" w:cs="Times New Roman"/>
          <w:b/>
          <w:bCs/>
          <w:sz w:val="48"/>
          <w:szCs w:val="20"/>
        </w:rPr>
      </w:pPr>
    </w:p>
    <w:p>
      <w:pPr>
        <w:spacing w:line="360" w:lineRule="auto"/>
        <w:ind w:left="723" w:hanging="720" w:hangingChars="200"/>
        <w:jc w:val="center"/>
        <w:rPr>
          <w:rFonts w:ascii="宋体" w:hAnsi="宋体" w:eastAsia="宋体" w:cs="Times New Roman"/>
          <w:b/>
          <w:bCs/>
          <w:sz w:val="36"/>
          <w:szCs w:val="20"/>
        </w:rPr>
      </w:pPr>
      <w:r>
        <w:rPr>
          <w:rFonts w:hint="eastAsia" w:ascii="宋体" w:hAnsi="宋体" w:eastAsia="宋体" w:cs="Times New Roman"/>
          <w:b/>
          <w:bCs/>
          <w:sz w:val="36"/>
          <w:szCs w:val="20"/>
        </w:rPr>
        <w:t>目录</w:t>
      </w:r>
    </w:p>
    <w:p>
      <w:pPr>
        <w:spacing w:line="360" w:lineRule="auto"/>
        <w:ind w:left="199" w:hanging="198" w:hangingChars="55"/>
        <w:rPr>
          <w:rFonts w:ascii="宋体" w:hAnsi="宋体" w:eastAsia="宋体" w:cs="Times New Roman"/>
          <w:b/>
          <w:bCs/>
          <w:sz w:val="36"/>
          <w:szCs w:val="20"/>
        </w:rPr>
      </w:pPr>
    </w:p>
    <w:p>
      <w:pPr>
        <w:tabs>
          <w:tab w:val="left" w:pos="945"/>
          <w:tab w:val="right" w:leader="dot" w:pos="8777"/>
        </w:tabs>
        <w:spacing w:before="120" w:after="120" w:line="360" w:lineRule="exact"/>
        <w:rPr>
          <w:rFonts w:ascii="Calibri" w:hAnsi="Calibri" w:eastAsia="宋体" w:cs="Times New Roman"/>
        </w:rPr>
      </w:pPr>
      <w:r>
        <w:rPr>
          <w:rFonts w:ascii="宋体" w:hAnsi="宋体" w:eastAsia="宋体" w:cs="Times New Roman"/>
          <w:b/>
          <w:sz w:val="24"/>
          <w:szCs w:val="36"/>
        </w:rPr>
        <w:fldChar w:fldCharType="begin"/>
      </w:r>
      <w:r>
        <w:rPr>
          <w:rFonts w:ascii="宋体" w:hAnsi="宋体" w:eastAsia="宋体" w:cs="Times New Roman"/>
          <w:b/>
          <w:sz w:val="24"/>
          <w:szCs w:val="36"/>
        </w:rPr>
        <w:instrText xml:space="preserve"> TOC \h \z \t "ifb,1,sor,1,bds,1,cbds,1" </w:instrText>
      </w:r>
      <w:r>
        <w:rPr>
          <w:rFonts w:ascii="宋体" w:hAnsi="宋体" w:eastAsia="宋体" w:cs="Times New Roman"/>
          <w:b/>
          <w:sz w:val="24"/>
          <w:szCs w:val="36"/>
        </w:rPr>
        <w:fldChar w:fldCharType="separate"/>
      </w:r>
      <w:r>
        <w:fldChar w:fldCharType="begin"/>
      </w:r>
      <w:r>
        <w:instrText xml:space="preserve"> HYPERLINK \l "_Toc11326092" </w:instrText>
      </w:r>
      <w:r>
        <w:fldChar w:fldCharType="separate"/>
      </w:r>
      <w:r>
        <w:rPr>
          <w:rFonts w:hint="eastAsia" w:ascii="宋体" w:hAnsi="宋体" w:eastAsia="宋体" w:cs="Times New Roman"/>
          <w:b/>
          <w:color w:val="0000FF"/>
          <w:sz w:val="24"/>
          <w:szCs w:val="36"/>
          <w:u w:val="single"/>
        </w:rPr>
        <w:t>第一章</w:t>
      </w:r>
      <w:r>
        <w:rPr>
          <w:rFonts w:ascii="宋体" w:hAnsi="宋体" w:eastAsia="宋体" w:cs="Times New Roman"/>
          <w:b/>
          <w:color w:val="0000FF"/>
          <w:sz w:val="24"/>
          <w:szCs w:val="36"/>
          <w:u w:val="single"/>
        </w:rPr>
        <w:t xml:space="preserve"> </w:t>
      </w:r>
      <w:r>
        <w:rPr>
          <w:rFonts w:ascii="Calibri" w:hAnsi="Calibri" w:eastAsia="宋体" w:cs="Times New Roman"/>
        </w:rPr>
        <w:tab/>
      </w:r>
      <w:r>
        <w:rPr>
          <w:rFonts w:hint="eastAsia" w:ascii="宋体" w:hAnsi="宋体" w:eastAsia="宋体" w:cs="Times New Roman"/>
          <w:b/>
          <w:color w:val="0000FF"/>
          <w:sz w:val="24"/>
          <w:szCs w:val="36"/>
          <w:u w:val="single"/>
        </w:rPr>
        <w:t>投标邀</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2</w:t>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ascii="Calibri" w:hAnsi="Calibri" w:eastAsia="宋体" w:cs="Times New Roman"/>
        </w:rPr>
      </w:pPr>
      <w:r>
        <w:fldChar w:fldCharType="begin"/>
      </w:r>
      <w:r>
        <w:instrText xml:space="preserve"> HYPERLINK \l "_Toc11326093" </w:instrText>
      </w:r>
      <w:r>
        <w:fldChar w:fldCharType="separate"/>
      </w:r>
      <w:r>
        <w:rPr>
          <w:rFonts w:hint="eastAsia" w:ascii="宋体" w:hAnsi="宋体" w:eastAsia="宋体" w:cs="Times New Roman"/>
          <w:b/>
          <w:color w:val="0000FF"/>
          <w:sz w:val="24"/>
          <w:szCs w:val="36"/>
          <w:u w:val="single"/>
        </w:rPr>
        <w:t>第二章</w:t>
      </w:r>
      <w:r>
        <w:rPr>
          <w:rFonts w:ascii="宋体" w:hAnsi="宋体" w:eastAsia="宋体" w:cs="Times New Roman"/>
          <w:b/>
          <w:color w:val="0000FF"/>
          <w:sz w:val="24"/>
          <w:szCs w:val="36"/>
          <w:u w:val="single"/>
        </w:rPr>
        <w:t xml:space="preserve"> </w:t>
      </w:r>
      <w:r>
        <w:rPr>
          <w:rFonts w:ascii="Calibri" w:hAnsi="Calibri" w:eastAsia="宋体" w:cs="Times New Roman"/>
        </w:rPr>
        <w:tab/>
      </w:r>
      <w:r>
        <w:rPr>
          <w:rFonts w:hint="eastAsia" w:ascii="宋体" w:hAnsi="宋体" w:eastAsia="宋体" w:cs="Times New Roman"/>
          <w:b/>
          <w:color w:val="0000FF"/>
          <w:sz w:val="24"/>
          <w:szCs w:val="36"/>
          <w:u w:val="single"/>
        </w:rPr>
        <w:t>投标资料表</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3</w:t>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hint="eastAsia" w:ascii="Calibri" w:hAnsi="Calibri" w:eastAsia="华文仿宋" w:cs="Times New Roman"/>
          <w:lang w:val="en-US" w:eastAsia="zh-CN"/>
        </w:rPr>
      </w:pPr>
      <w:r>
        <w:fldChar w:fldCharType="begin"/>
      </w:r>
      <w:r>
        <w:instrText xml:space="preserve"> HYPERLINK \l "_Toc11326094" </w:instrText>
      </w:r>
      <w:r>
        <w:fldChar w:fldCharType="separate"/>
      </w:r>
      <w:r>
        <w:rPr>
          <w:rFonts w:hint="eastAsia" w:ascii="宋体" w:hAnsi="宋体" w:eastAsia="宋体" w:cs="Times New Roman"/>
          <w:b/>
          <w:color w:val="0000FF"/>
          <w:sz w:val="24"/>
          <w:szCs w:val="36"/>
          <w:u w:val="single"/>
        </w:rPr>
        <w:t>第三章</w:t>
      </w:r>
      <w:r>
        <w:rPr>
          <w:rFonts w:ascii="Calibri" w:hAnsi="Calibri" w:eastAsia="宋体" w:cs="Times New Roman"/>
        </w:rPr>
        <w:tab/>
      </w:r>
      <w:r>
        <w:rPr>
          <w:rFonts w:hint="eastAsia" w:ascii="宋体" w:hAnsi="宋体" w:eastAsia="宋体" w:cs="Times New Roman"/>
          <w:b/>
          <w:color w:val="0000FF"/>
          <w:sz w:val="24"/>
          <w:szCs w:val="36"/>
          <w:u w:val="single"/>
        </w:rPr>
        <w:t>合同专用条款</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9</w:t>
      </w:r>
      <w:r>
        <w:rPr>
          <w:rFonts w:hint="eastAsia"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ascii="Calibri" w:hAnsi="Calibri" w:eastAsia="华文仿宋" w:cs="Times New Roman"/>
        </w:rPr>
      </w:pPr>
      <w:r>
        <w:fldChar w:fldCharType="begin"/>
      </w:r>
      <w:r>
        <w:instrText xml:space="preserve"> HYPERLINK \l "_Toc11326095" </w:instrText>
      </w:r>
      <w:r>
        <w:fldChar w:fldCharType="separate"/>
      </w:r>
      <w:r>
        <w:rPr>
          <w:rFonts w:hint="eastAsia" w:ascii="宋体" w:hAnsi="宋体" w:eastAsia="宋体" w:cs="Times New Roman"/>
          <w:b/>
          <w:color w:val="0000FF"/>
          <w:sz w:val="24"/>
          <w:szCs w:val="36"/>
          <w:u w:val="single"/>
        </w:rPr>
        <w:t>第四章</w:t>
      </w:r>
      <w:r>
        <w:rPr>
          <w:rFonts w:ascii="Calibri" w:hAnsi="Calibri" w:eastAsia="宋体" w:cs="Times New Roman"/>
        </w:rPr>
        <w:tab/>
      </w:r>
      <w:r>
        <w:rPr>
          <w:rFonts w:hint="eastAsia" w:ascii="宋体" w:hAnsi="宋体" w:eastAsia="宋体" w:cs="Times New Roman"/>
          <w:b/>
          <w:color w:val="0000FF"/>
          <w:sz w:val="24"/>
          <w:szCs w:val="36"/>
          <w:u w:val="single"/>
        </w:rPr>
        <w:t>货物需求一览表及技术规格</w:t>
      </w:r>
      <w:r>
        <w:rPr>
          <w:rFonts w:ascii="Times New Roman" w:hAnsi="Times New Roman" w:eastAsia="华文仿宋" w:cs="Times New Roman"/>
          <w:b/>
          <w:sz w:val="24"/>
          <w:szCs w:val="36"/>
        </w:rPr>
        <w:tab/>
      </w:r>
      <w:r>
        <w:rPr>
          <w:rFonts w:ascii="Times New Roman" w:hAnsi="Times New Roman" w:eastAsia="华文仿宋" w:cs="Times New Roman"/>
          <w:b/>
          <w:sz w:val="24"/>
          <w:szCs w:val="36"/>
        </w:rPr>
        <w:fldChar w:fldCharType="begin"/>
      </w:r>
      <w:r>
        <w:rPr>
          <w:rFonts w:ascii="Times New Roman" w:hAnsi="Times New Roman" w:eastAsia="华文仿宋" w:cs="Times New Roman"/>
          <w:b/>
          <w:sz w:val="24"/>
          <w:szCs w:val="36"/>
        </w:rPr>
        <w:instrText xml:space="preserve"> PAGEREF _Toc11326095 \h </w:instrText>
      </w:r>
      <w:r>
        <w:rPr>
          <w:rFonts w:ascii="Times New Roman" w:hAnsi="Times New Roman" w:eastAsia="华文仿宋" w:cs="Times New Roman"/>
          <w:b/>
          <w:sz w:val="24"/>
          <w:szCs w:val="36"/>
        </w:rPr>
        <w:fldChar w:fldCharType="separate"/>
      </w:r>
      <w:r>
        <w:rPr>
          <w:rFonts w:ascii="Times New Roman" w:hAnsi="Times New Roman" w:eastAsia="华文仿宋" w:cs="Times New Roman"/>
          <w:b/>
          <w:sz w:val="24"/>
          <w:szCs w:val="36"/>
        </w:rPr>
        <w:t>1</w:t>
      </w:r>
      <w:r>
        <w:rPr>
          <w:rFonts w:hint="eastAsia" w:ascii="Times New Roman" w:hAnsi="Times New Roman" w:eastAsia="华文仿宋" w:cs="Times New Roman"/>
          <w:b/>
          <w:sz w:val="24"/>
          <w:szCs w:val="36"/>
          <w:lang w:val="en-US" w:eastAsia="zh-CN"/>
        </w:rPr>
        <w:t>0</w:t>
      </w:r>
      <w:r>
        <w:rPr>
          <w:rFonts w:ascii="Times New Roman" w:hAnsi="Times New Roman" w:eastAsia="华文仿宋" w:cs="Times New Roman"/>
          <w:b/>
          <w:sz w:val="24"/>
          <w:szCs w:val="36"/>
        </w:rPr>
        <w:fldChar w:fldCharType="end"/>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hint="eastAsia" w:ascii="Calibri" w:hAnsi="Calibri" w:eastAsia="华文仿宋" w:cs="Times New Roman"/>
          <w:lang w:val="en-US" w:eastAsia="zh-CN"/>
        </w:rPr>
      </w:pPr>
      <w:r>
        <w:fldChar w:fldCharType="begin"/>
      </w:r>
      <w:r>
        <w:instrText xml:space="preserve"> HYPERLINK \l "_Toc11326096" </w:instrText>
      </w:r>
      <w:r>
        <w:fldChar w:fldCharType="separate"/>
      </w:r>
      <w:r>
        <w:rPr>
          <w:rFonts w:hint="eastAsia" w:ascii="宋体" w:hAnsi="宋体" w:eastAsia="宋体" w:cs="Times New Roman"/>
          <w:b/>
          <w:color w:val="0000FF"/>
          <w:sz w:val="24"/>
          <w:szCs w:val="36"/>
          <w:u w:val="single"/>
        </w:rPr>
        <w:t>附件</w:t>
      </w:r>
      <w:r>
        <w:rPr>
          <w:rFonts w:ascii="宋体" w:hAnsi="宋体" w:eastAsia="宋体" w:cs="Times New Roman"/>
          <w:b/>
          <w:color w:val="0000FF"/>
          <w:sz w:val="24"/>
          <w:szCs w:val="36"/>
          <w:u w:val="single"/>
        </w:rPr>
        <w:t>1</w:t>
      </w:r>
      <w:r>
        <w:rPr>
          <w:rFonts w:hint="eastAsia" w:ascii="宋体" w:hAnsi="宋体" w:eastAsia="宋体" w:cs="Times New Roman"/>
          <w:b/>
          <w:color w:val="0000FF"/>
          <w:sz w:val="24"/>
          <w:szCs w:val="36"/>
          <w:u w:val="single"/>
        </w:rPr>
        <w:t>：无重大违法记录承诺书（格式）</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14</w:t>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hint="eastAsia" w:ascii="Calibri" w:hAnsi="Calibri" w:eastAsia="华文仿宋" w:cs="Times New Roman"/>
          <w:lang w:val="en-US" w:eastAsia="zh-CN"/>
        </w:rPr>
      </w:pPr>
      <w:r>
        <w:fldChar w:fldCharType="begin"/>
      </w:r>
      <w:r>
        <w:instrText xml:space="preserve"> HYPERLINK \l "_Toc11326097" </w:instrText>
      </w:r>
      <w:r>
        <w:fldChar w:fldCharType="separate"/>
      </w:r>
      <w:r>
        <w:rPr>
          <w:rFonts w:hint="eastAsia" w:ascii="宋体" w:hAnsi="宋体" w:eastAsia="宋体" w:cs="Times New Roman"/>
          <w:b/>
          <w:color w:val="0000FF"/>
          <w:sz w:val="24"/>
          <w:szCs w:val="36"/>
          <w:u w:val="single"/>
        </w:rPr>
        <w:t>附件</w:t>
      </w:r>
      <w:r>
        <w:rPr>
          <w:rFonts w:ascii="宋体" w:hAnsi="宋体" w:eastAsia="宋体" w:cs="Times New Roman"/>
          <w:b/>
          <w:color w:val="0000FF"/>
          <w:sz w:val="24"/>
          <w:szCs w:val="36"/>
          <w:u w:val="single"/>
        </w:rPr>
        <w:t>2</w:t>
      </w:r>
      <w:r>
        <w:rPr>
          <w:rFonts w:hint="eastAsia" w:ascii="宋体" w:hAnsi="宋体" w:eastAsia="宋体" w:cs="Times New Roman"/>
          <w:b/>
          <w:color w:val="0000FF"/>
          <w:sz w:val="24"/>
          <w:szCs w:val="36"/>
          <w:u w:val="single"/>
        </w:rPr>
        <w:t>：无行贿犯罪记录声明函（格式）</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1</w:t>
      </w:r>
      <w:r>
        <w:rPr>
          <w:rFonts w:hint="eastAsia" w:ascii="Times New Roman" w:hAnsi="Times New Roman" w:eastAsia="华文仿宋" w:cs="Times New Roman"/>
          <w:b/>
          <w:sz w:val="24"/>
          <w:szCs w:val="36"/>
        </w:rPr>
        <w:fldChar w:fldCharType="end"/>
      </w:r>
      <w:r>
        <w:rPr>
          <w:rFonts w:hint="eastAsia" w:ascii="Times New Roman" w:hAnsi="Times New Roman" w:eastAsia="华文仿宋" w:cs="Times New Roman"/>
          <w:b/>
          <w:sz w:val="24"/>
          <w:szCs w:val="36"/>
          <w:lang w:val="en-US" w:eastAsia="zh-CN"/>
        </w:rPr>
        <w:t>5</w:t>
      </w:r>
    </w:p>
    <w:p>
      <w:pPr>
        <w:rPr>
          <w:rFonts w:ascii="宋体" w:hAnsi="宋体" w:eastAsia="宋体" w:cs="Times New Roman"/>
          <w:szCs w:val="20"/>
        </w:rPr>
        <w:sectPr>
          <w:headerReference r:id="rId5" w:type="first"/>
          <w:headerReference r:id="rId3" w:type="default"/>
          <w:footerReference r:id="rId6" w:type="default"/>
          <w:headerReference r:id="rId4" w:type="even"/>
          <w:footerReference r:id="rId7" w:type="even"/>
          <w:pgSz w:w="11906" w:h="16838"/>
          <w:pgMar w:top="1418" w:right="1077" w:bottom="1242" w:left="1077" w:header="567" w:footer="567" w:gutter="0"/>
          <w:pgBorders>
            <w:top w:val="none" w:sz="0" w:space="0"/>
            <w:left w:val="none" w:sz="0" w:space="0"/>
            <w:bottom w:val="none" w:sz="0" w:space="0"/>
            <w:right w:val="none" w:sz="0" w:space="0"/>
          </w:pgBorders>
          <w:pgNumType w:start="0"/>
          <w:cols w:space="425" w:num="1"/>
          <w:titlePg/>
          <w:docGrid w:type="linesAndChars" w:linePitch="312" w:charSpace="0"/>
        </w:sectPr>
      </w:pPr>
      <w:r>
        <w:fldChar w:fldCharType="end"/>
      </w:r>
    </w:p>
    <w:bookmarkEnd w:id="1"/>
    <w:p>
      <w:pPr>
        <w:keepNext/>
        <w:keepLines/>
        <w:autoSpaceDE w:val="0"/>
        <w:autoSpaceDN w:val="0"/>
        <w:spacing w:before="260" w:after="260" w:line="360" w:lineRule="auto"/>
        <w:jc w:val="center"/>
        <w:outlineLvl w:val="2"/>
        <w:rPr>
          <w:rFonts w:ascii="宋体" w:hAnsi="宋体" w:eastAsia="宋体" w:cs="Times New Roman"/>
          <w:b/>
          <w:sz w:val="36"/>
          <w:szCs w:val="20"/>
        </w:rPr>
      </w:pPr>
      <w:bookmarkStart w:id="2" w:name="OLE_LINK11"/>
      <w:bookmarkStart w:id="3" w:name="OLE_LINK16"/>
      <w:r>
        <w:rPr>
          <w:rFonts w:hint="eastAsia" w:ascii="宋体" w:hAnsi="宋体" w:eastAsia="宋体" w:cs="Times New Roman"/>
          <w:b/>
          <w:sz w:val="36"/>
          <w:szCs w:val="20"/>
        </w:rPr>
        <w:t>第一章</w:t>
      </w:r>
      <w:r>
        <w:rPr>
          <w:rFonts w:ascii="宋体" w:hAnsi="宋体" w:eastAsia="宋体" w:cs="Times New Roman"/>
          <w:b/>
          <w:sz w:val="36"/>
          <w:szCs w:val="20"/>
        </w:rPr>
        <w:t xml:space="preserve"> </w:t>
      </w:r>
      <w:r>
        <w:rPr>
          <w:rFonts w:ascii="宋体" w:hAnsi="宋体" w:eastAsia="宋体" w:cs="Times New Roman"/>
          <w:b/>
          <w:sz w:val="36"/>
          <w:szCs w:val="20"/>
        </w:rPr>
        <w:tab/>
      </w:r>
      <w:r>
        <w:rPr>
          <w:rFonts w:hint="eastAsia" w:ascii="宋体" w:hAnsi="宋体" w:eastAsia="宋体" w:cs="Times New Roman"/>
          <w:b/>
          <w:sz w:val="36"/>
          <w:szCs w:val="20"/>
        </w:rPr>
        <w:t>询价邀请</w:t>
      </w:r>
    </w:p>
    <w:p>
      <w:pPr>
        <w:spacing w:line="360" w:lineRule="auto"/>
        <w:ind w:left="425" w:hanging="424" w:hangingChars="177"/>
        <w:rPr>
          <w:rFonts w:ascii="宋体" w:hAnsi="宋体" w:eastAsia="宋体" w:cs="Times New Roman"/>
          <w:sz w:val="24"/>
          <w:szCs w:val="24"/>
        </w:rPr>
      </w:pPr>
      <w:bookmarkStart w:id="4" w:name="_Toc461613005"/>
      <w:bookmarkStart w:id="5" w:name="_Toc461613077"/>
      <w:r>
        <w:rPr>
          <w:rFonts w:hint="eastAsia" w:ascii="Times New Roman" w:hAnsi="Times New Roman" w:eastAsia="宋体" w:cs="Times New Roman"/>
          <w:sz w:val="24"/>
          <w:szCs w:val="24"/>
        </w:rPr>
        <w:t>1</w:t>
      </w:r>
      <w:r>
        <w:rPr>
          <w:rFonts w:hint="eastAsia" w:ascii="宋体" w:hAnsi="宋体" w:eastAsia="宋体" w:cs="Times New Roman"/>
          <w:sz w:val="24"/>
          <w:szCs w:val="24"/>
        </w:rPr>
        <w:t>、上海市中医医院现以公开采购的方式邀请合格的供应商就下列所提供的货物和相关服务提交密封询价文件。</w:t>
      </w:r>
    </w:p>
    <w:p>
      <w:pPr>
        <w:autoSpaceDE w:val="0"/>
        <w:autoSpaceDN w:val="0"/>
        <w:spacing w:line="360" w:lineRule="auto"/>
        <w:ind w:left="360" w:firstLine="64" w:firstLineChars="27"/>
        <w:rPr>
          <w:rFonts w:hint="eastAsia" w:ascii="宋体" w:hAnsi="宋体" w:eastAsia="宋体" w:cs="宋体"/>
          <w:kern w:val="0"/>
          <w:sz w:val="24"/>
          <w:szCs w:val="24"/>
        </w:rPr>
      </w:pPr>
      <w:r>
        <w:rPr>
          <w:rFonts w:hint="eastAsia" w:ascii="宋体" w:hAnsi="宋体" w:eastAsia="宋体" w:cs="Times New Roman"/>
          <w:sz w:val="24"/>
          <w:szCs w:val="20"/>
        </w:rPr>
        <w:t>（</w:t>
      </w: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hint="eastAsia" w:ascii="宋体" w:hAnsi="宋体" w:eastAsia="宋体" w:cs="宋体"/>
          <w:kern w:val="0"/>
          <w:sz w:val="24"/>
          <w:szCs w:val="24"/>
          <w:lang w:val="en-US" w:eastAsia="zh-CN"/>
        </w:rPr>
        <w:t>项目</w:t>
      </w:r>
      <w:r>
        <w:rPr>
          <w:rFonts w:hint="eastAsia" w:ascii="宋体" w:hAnsi="宋体" w:eastAsia="宋体" w:cs="宋体"/>
          <w:kern w:val="0"/>
          <w:sz w:val="24"/>
          <w:szCs w:val="24"/>
        </w:rPr>
        <w:t>名称：</w:t>
      </w:r>
      <w:bookmarkEnd w:id="4"/>
      <w:bookmarkEnd w:id="5"/>
    </w:p>
    <w:p>
      <w:pPr>
        <w:numPr>
          <w:ilvl w:val="0"/>
          <w:numId w:val="0"/>
        </w:numPr>
        <w:autoSpaceDE w:val="0"/>
        <w:autoSpaceDN w:val="0"/>
        <w:spacing w:line="360" w:lineRule="auto"/>
        <w:ind w:leftChars="27" w:firstLine="1440" w:firstLineChars="600"/>
        <w:rPr>
          <w:rFonts w:hint="eastAsia" w:ascii="宋体" w:hAnsi="宋体" w:eastAsia="宋体" w:cs="宋体"/>
          <w:b w:val="0"/>
          <w:bCs w:val="0"/>
          <w:sz w:val="24"/>
          <w:szCs w:val="24"/>
          <w:lang w:val="en-US" w:eastAsia="zh-CN"/>
        </w:rPr>
      </w:pPr>
      <w:r>
        <w:rPr>
          <w:rFonts w:hint="eastAsia" w:ascii="宋体" w:hAnsi="宋体" w:eastAsia="宋体" w:cs="宋体"/>
          <w:kern w:val="0"/>
          <w:sz w:val="24"/>
          <w:szCs w:val="24"/>
          <w:highlight w:val="none"/>
          <w:lang w:val="en-US" w:eastAsia="zh-CN"/>
        </w:rPr>
        <w:t>包件一：</w:t>
      </w:r>
      <w:r>
        <w:rPr>
          <w:rFonts w:hint="eastAsia" w:ascii="宋体" w:hAnsi="宋体" w:eastAsia="宋体" w:cs="宋体"/>
          <w:b w:val="0"/>
          <w:bCs w:val="0"/>
          <w:sz w:val="24"/>
          <w:szCs w:val="24"/>
          <w:lang w:val="en-US" w:eastAsia="zh-CN"/>
        </w:rPr>
        <w:t>测序反应通用试剂盒</w:t>
      </w:r>
    </w:p>
    <w:p>
      <w:pPr>
        <w:numPr>
          <w:ilvl w:val="0"/>
          <w:numId w:val="0"/>
        </w:numPr>
        <w:autoSpaceDE w:val="0"/>
        <w:autoSpaceDN w:val="0"/>
        <w:spacing w:line="360" w:lineRule="auto"/>
        <w:ind w:leftChars="27" w:firstLine="1440" w:firstLineChars="6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包件二：丙型肝炎病毒核酸测定试剂盒（PCR-荧光探针法）</w:t>
      </w:r>
    </w:p>
    <w:p>
      <w:pPr>
        <w:numPr>
          <w:ilvl w:val="0"/>
          <w:numId w:val="0"/>
        </w:numPr>
        <w:autoSpaceDE w:val="0"/>
        <w:autoSpaceDN w:val="0"/>
        <w:spacing w:line="360" w:lineRule="auto"/>
        <w:ind w:leftChars="27" w:firstLine="1440" w:firstLineChars="6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包件三：</w:t>
      </w:r>
      <w:r>
        <w:rPr>
          <w:rFonts w:hint="eastAsia" w:ascii="宋体" w:hAnsi="宋体" w:eastAsia="宋体" w:cs="宋体"/>
          <w:b w:val="0"/>
          <w:bCs w:val="0"/>
          <w:sz w:val="24"/>
          <w:szCs w:val="24"/>
          <w:lang w:val="en-US" w:eastAsia="zh-CN"/>
        </w:rPr>
        <w:t>免疫显色试剂</w:t>
      </w:r>
    </w:p>
    <w:p>
      <w:pPr>
        <w:numPr>
          <w:ilvl w:val="0"/>
          <w:numId w:val="0"/>
        </w:numPr>
        <w:autoSpaceDE w:val="0"/>
        <w:autoSpaceDN w:val="0"/>
        <w:spacing w:line="360" w:lineRule="auto"/>
        <w:ind w:leftChars="27" w:firstLine="1440" w:firstLineChars="6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包件四：人乳头瘤病毒(HPV)E6E7mRNA检测试剂盒</w:t>
      </w:r>
    </w:p>
    <w:p>
      <w:pPr>
        <w:numPr>
          <w:ilvl w:val="0"/>
          <w:numId w:val="0"/>
        </w:numPr>
        <w:autoSpaceDE w:val="0"/>
        <w:autoSpaceDN w:val="0"/>
        <w:spacing w:line="360" w:lineRule="auto"/>
        <w:ind w:leftChars="27" w:firstLine="1440" w:firstLineChars="600"/>
        <w:rPr>
          <w:rFonts w:hint="eastAsia" w:ascii="宋体" w:hAnsi="宋体" w:eastAsia="宋体"/>
          <w:b w:val="0"/>
          <w:bCs w:val="0"/>
          <w:sz w:val="24"/>
          <w:szCs w:val="24"/>
          <w:lang w:val="en-US" w:eastAsia="zh-CN"/>
        </w:rPr>
      </w:pPr>
      <w:r>
        <w:rPr>
          <w:rFonts w:hint="eastAsia" w:ascii="宋体" w:hAnsi="宋体" w:eastAsia="宋体" w:cs="宋体"/>
          <w:kern w:val="0"/>
          <w:sz w:val="24"/>
          <w:szCs w:val="24"/>
          <w:highlight w:val="none"/>
          <w:lang w:val="en-US" w:eastAsia="zh-CN"/>
        </w:rPr>
        <w:t>包件五：</w:t>
      </w:r>
      <w:r>
        <w:rPr>
          <w:rFonts w:hint="eastAsia" w:ascii="宋体" w:hAnsi="宋体" w:eastAsia="宋体"/>
          <w:b w:val="0"/>
          <w:bCs w:val="0"/>
          <w:sz w:val="24"/>
          <w:szCs w:val="24"/>
          <w:lang w:val="en-US" w:eastAsia="zh-CN"/>
        </w:rPr>
        <w:t>全自动真菌细菌动态检测仪相关试剂</w:t>
      </w:r>
    </w:p>
    <w:p>
      <w:pPr>
        <w:numPr>
          <w:ilvl w:val="0"/>
          <w:numId w:val="0"/>
        </w:numPr>
        <w:autoSpaceDE w:val="0"/>
        <w:autoSpaceDN w:val="0"/>
        <w:spacing w:line="360" w:lineRule="auto"/>
        <w:ind w:leftChars="27" w:firstLine="1440" w:firstLineChars="6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包件六：高尔基体蛋白73测定试剂盒(磁微粒化学发光免疫分析法)</w:t>
      </w:r>
    </w:p>
    <w:p>
      <w:pPr>
        <w:numPr>
          <w:ilvl w:val="0"/>
          <w:numId w:val="0"/>
        </w:numPr>
        <w:autoSpaceDE w:val="0"/>
        <w:autoSpaceDN w:val="0"/>
        <w:spacing w:line="360" w:lineRule="auto"/>
        <w:ind w:leftChars="27" w:firstLine="1440" w:firstLineChars="6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包件七：视黄醇结合蛋白(RBP)测定试剂盒</w:t>
      </w:r>
    </w:p>
    <w:p>
      <w:pPr>
        <w:numPr>
          <w:ilvl w:val="0"/>
          <w:numId w:val="0"/>
        </w:numPr>
        <w:autoSpaceDE w:val="0"/>
        <w:autoSpaceDN w:val="0"/>
        <w:spacing w:line="360" w:lineRule="auto"/>
        <w:ind w:leftChars="27" w:firstLine="1440" w:firstLineChars="600"/>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包件八：血清前白蛋白</w:t>
      </w:r>
    </w:p>
    <w:p>
      <w:pPr>
        <w:numPr>
          <w:ilvl w:val="0"/>
          <w:numId w:val="2"/>
        </w:numPr>
        <w:autoSpaceDE w:val="0"/>
        <w:autoSpaceDN w:val="0"/>
        <w:spacing w:line="360" w:lineRule="auto"/>
        <w:ind w:left="360" w:firstLine="64" w:firstLineChars="27"/>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供应商可响应1个或多个包件</w:t>
      </w:r>
    </w:p>
    <w:p>
      <w:pPr>
        <w:numPr>
          <w:ilvl w:val="0"/>
          <w:numId w:val="2"/>
        </w:numPr>
        <w:autoSpaceDE w:val="0"/>
        <w:autoSpaceDN w:val="0"/>
        <w:spacing w:line="360" w:lineRule="auto"/>
        <w:ind w:left="360" w:firstLine="64" w:firstLineChars="27"/>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服务期限：合同签订后2年</w:t>
      </w:r>
    </w:p>
    <w:p>
      <w:pPr>
        <w:numPr>
          <w:ilvl w:val="0"/>
          <w:numId w:val="2"/>
        </w:numPr>
        <w:autoSpaceDE w:val="0"/>
        <w:autoSpaceDN w:val="0"/>
        <w:spacing w:line="360" w:lineRule="auto"/>
        <w:ind w:left="360" w:firstLine="64" w:firstLineChars="27"/>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技术要求：见本询价通知书第四章“货物需求一览表及技术规格</w:t>
      </w:r>
    </w:p>
    <w:p>
      <w:pPr>
        <w:spacing w:line="360" w:lineRule="auto"/>
        <w:ind w:left="425" w:hanging="424" w:hangingChars="177"/>
        <w:rPr>
          <w:rFonts w:ascii="宋体" w:hAnsi="宋体" w:eastAsia="宋体" w:cs="Times New Roman"/>
          <w:sz w:val="24"/>
          <w:szCs w:val="24"/>
          <w:highlight w:val="none"/>
        </w:rPr>
      </w:pPr>
      <w:bookmarkStart w:id="6" w:name="_Toc461613084"/>
      <w:bookmarkStart w:id="7" w:name="_Toc461613012"/>
      <w:r>
        <w:rPr>
          <w:rFonts w:ascii="Times New Roman" w:hAnsi="Times New Roman" w:eastAsia="宋体" w:cs="Times New Roman"/>
          <w:sz w:val="24"/>
          <w:szCs w:val="24"/>
          <w:highlight w:val="none"/>
        </w:rPr>
        <w:t>2</w:t>
      </w:r>
      <w:r>
        <w:rPr>
          <w:rFonts w:hint="eastAsia" w:ascii="宋体" w:hAnsi="宋体" w:eastAsia="宋体" w:cs="Times New Roman"/>
          <w:sz w:val="24"/>
          <w:szCs w:val="24"/>
          <w:highlight w:val="none"/>
        </w:rPr>
        <w:t>、有兴趣的合格潜在供应商请于</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5</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8</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27</w:t>
      </w:r>
      <w:r>
        <w:rPr>
          <w:rFonts w:hint="eastAsia" w:ascii="宋体" w:hAnsi="宋体" w:eastAsia="宋体" w:cs="Times New Roman"/>
          <w:sz w:val="24"/>
          <w:szCs w:val="24"/>
          <w:highlight w:val="none"/>
        </w:rPr>
        <w:t>日起至</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5</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9</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1</w:t>
      </w:r>
      <w:r>
        <w:rPr>
          <w:rFonts w:hint="eastAsia" w:ascii="宋体" w:hAnsi="宋体" w:eastAsia="宋体" w:cs="Times New Roman"/>
          <w:sz w:val="24"/>
          <w:szCs w:val="24"/>
          <w:highlight w:val="none"/>
        </w:rPr>
        <w:t>日</w:t>
      </w:r>
      <w:r>
        <w:rPr>
          <w:rFonts w:hint="eastAsia" w:ascii="宋体" w:hAnsi="宋体" w:eastAsia="宋体" w:cs="Times New Roman"/>
          <w:sz w:val="24"/>
          <w:szCs w:val="24"/>
          <w:highlight w:val="none"/>
        </w:rPr>
        <w:t>止（星期六、日和节假日除外）</w:t>
      </w:r>
      <w:r>
        <w:rPr>
          <w:rFonts w:hint="eastAsia" w:ascii="宋体" w:hAnsi="宋体" w:eastAsia="宋体"/>
          <w:sz w:val="24"/>
          <w:szCs w:val="24"/>
          <w:highlight w:val="none"/>
        </w:rPr>
        <w:t>自行前往我院官网（</w:t>
      </w:r>
      <w:r>
        <w:rPr>
          <w:highlight w:val="none"/>
        </w:rPr>
        <w:fldChar w:fldCharType="begin"/>
      </w:r>
      <w:r>
        <w:rPr>
          <w:highlight w:val="none"/>
        </w:rPr>
        <w:instrText xml:space="preserve"> HYPERLINK "https://www.szy.sh.cn/" </w:instrText>
      </w:r>
      <w:r>
        <w:rPr>
          <w:highlight w:val="none"/>
        </w:rPr>
        <w:fldChar w:fldCharType="separate"/>
      </w:r>
      <w:r>
        <w:rPr>
          <w:rStyle w:val="39"/>
          <w:rFonts w:ascii="Times New Roman" w:hAnsi="Times New Roman" w:eastAsia="宋体"/>
          <w:sz w:val="24"/>
          <w:szCs w:val="24"/>
          <w:highlight w:val="none"/>
        </w:rPr>
        <w:t>https</w:t>
      </w:r>
      <w:r>
        <w:rPr>
          <w:rStyle w:val="39"/>
          <w:rFonts w:ascii="宋体" w:hAnsi="宋体" w:eastAsia="宋体"/>
          <w:sz w:val="24"/>
          <w:szCs w:val="24"/>
          <w:highlight w:val="none"/>
        </w:rPr>
        <w:t>://</w:t>
      </w:r>
      <w:r>
        <w:rPr>
          <w:rStyle w:val="39"/>
          <w:rFonts w:ascii="Times New Roman" w:hAnsi="Times New Roman" w:eastAsia="宋体"/>
          <w:sz w:val="24"/>
          <w:szCs w:val="24"/>
          <w:highlight w:val="none"/>
        </w:rPr>
        <w:t>www</w:t>
      </w:r>
      <w:r>
        <w:rPr>
          <w:rStyle w:val="39"/>
          <w:rFonts w:ascii="宋体" w:hAnsi="宋体" w:eastAsia="宋体"/>
          <w:sz w:val="24"/>
          <w:szCs w:val="24"/>
          <w:highlight w:val="none"/>
        </w:rPr>
        <w:t>.</w:t>
      </w:r>
      <w:r>
        <w:rPr>
          <w:rStyle w:val="39"/>
          <w:rFonts w:ascii="Times New Roman" w:hAnsi="Times New Roman" w:eastAsia="宋体"/>
          <w:sz w:val="24"/>
          <w:szCs w:val="24"/>
          <w:highlight w:val="none"/>
        </w:rPr>
        <w:t>szy</w:t>
      </w:r>
      <w:r>
        <w:rPr>
          <w:rStyle w:val="39"/>
          <w:rFonts w:ascii="宋体" w:hAnsi="宋体" w:eastAsia="宋体"/>
          <w:sz w:val="24"/>
          <w:szCs w:val="24"/>
          <w:highlight w:val="none"/>
        </w:rPr>
        <w:t>.</w:t>
      </w:r>
      <w:r>
        <w:rPr>
          <w:rStyle w:val="39"/>
          <w:rFonts w:ascii="Times New Roman" w:hAnsi="Times New Roman" w:eastAsia="宋体"/>
          <w:sz w:val="24"/>
          <w:szCs w:val="24"/>
          <w:highlight w:val="none"/>
        </w:rPr>
        <w:t>sh</w:t>
      </w:r>
      <w:r>
        <w:rPr>
          <w:rStyle w:val="39"/>
          <w:rFonts w:ascii="宋体" w:hAnsi="宋体" w:eastAsia="宋体"/>
          <w:sz w:val="24"/>
          <w:szCs w:val="24"/>
          <w:highlight w:val="none"/>
        </w:rPr>
        <w:t>.</w:t>
      </w:r>
      <w:r>
        <w:rPr>
          <w:rStyle w:val="39"/>
          <w:rFonts w:ascii="Times New Roman" w:hAnsi="Times New Roman" w:eastAsia="宋体"/>
          <w:sz w:val="24"/>
          <w:szCs w:val="24"/>
          <w:highlight w:val="none"/>
        </w:rPr>
        <w:t>cn</w:t>
      </w:r>
      <w:r>
        <w:rPr>
          <w:rStyle w:val="39"/>
          <w:rFonts w:ascii="宋体" w:hAnsi="宋体" w:eastAsia="宋体"/>
          <w:sz w:val="24"/>
          <w:szCs w:val="24"/>
          <w:highlight w:val="none"/>
        </w:rPr>
        <w:t>/</w:t>
      </w:r>
      <w:r>
        <w:rPr>
          <w:rStyle w:val="39"/>
          <w:rFonts w:ascii="宋体" w:hAnsi="宋体" w:eastAsia="宋体"/>
          <w:sz w:val="24"/>
          <w:szCs w:val="24"/>
          <w:highlight w:val="none"/>
        </w:rPr>
        <w:fldChar w:fldCharType="end"/>
      </w:r>
      <w:r>
        <w:rPr>
          <w:rFonts w:hint="eastAsia" w:ascii="宋体" w:hAnsi="宋体" w:eastAsia="宋体"/>
          <w:sz w:val="24"/>
          <w:szCs w:val="24"/>
          <w:highlight w:val="none"/>
        </w:rPr>
        <w:t>）通知栏下载</w:t>
      </w:r>
      <w:r>
        <w:rPr>
          <w:rFonts w:hint="eastAsia" w:ascii="宋体" w:hAnsi="宋体" w:eastAsia="宋体" w:cs="Times New Roman"/>
          <w:sz w:val="24"/>
          <w:szCs w:val="24"/>
          <w:highlight w:val="none"/>
        </w:rPr>
        <w:t>。</w:t>
      </w:r>
    </w:p>
    <w:p>
      <w:pPr>
        <w:spacing w:line="360" w:lineRule="auto"/>
        <w:ind w:left="425" w:hanging="424" w:hangingChars="177"/>
        <w:rPr>
          <w:rFonts w:ascii="Times New Roman" w:hAnsi="Times New Roman" w:eastAsia="宋体" w:cs="宋体"/>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sz w:val="24"/>
          <w:szCs w:val="24"/>
          <w:highlight w:val="none"/>
        </w:rPr>
        <w:t>3</w:t>
      </w:r>
      <w:r>
        <w:rPr>
          <w:rFonts w:hint="eastAsia" w:ascii="宋体" w:hAnsi="宋体" w:eastAsia="宋体" w:cs="Times New Roman"/>
          <w:sz w:val="24"/>
          <w:szCs w:val="24"/>
          <w:highlight w:val="none"/>
        </w:rPr>
        <w:t>、报名及截止时间：</w:t>
      </w:r>
      <w:r>
        <w:rPr>
          <w:rFonts w:hint="eastAsia" w:ascii="Times New Roman" w:hAnsi="Times New Roman" w:eastAsia="宋体" w:cs="宋体"/>
          <w:color w:val="000000" w:themeColor="text1"/>
          <w:kern w:val="0"/>
          <w:sz w:val="24"/>
          <w:szCs w:val="24"/>
          <w:highlight w:val="none"/>
          <w14:textFill>
            <w14:solidFill>
              <w14:schemeClr w14:val="tx1"/>
            </w14:solidFill>
          </w14:textFill>
        </w:rPr>
        <w:t>202</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5</w:t>
      </w:r>
      <w:r>
        <w:rPr>
          <w:rFonts w:hint="eastAsia" w:ascii="Times New Roman" w:hAnsi="Times New Roman" w:eastAsia="宋体" w:cs="宋体"/>
          <w:color w:val="000000" w:themeColor="text1"/>
          <w:kern w:val="0"/>
          <w:sz w:val="24"/>
          <w:szCs w:val="24"/>
          <w:highlight w:val="none"/>
          <w14:textFill>
            <w14:solidFill>
              <w14:schemeClr w14:val="tx1"/>
            </w14:solidFill>
          </w14:textFill>
        </w:rPr>
        <w:t>年</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9</w:t>
      </w:r>
      <w:r>
        <w:rPr>
          <w:rFonts w:hint="eastAsia" w:ascii="Times New Roman" w:hAnsi="Times New Roman" w:eastAsia="宋体" w:cs="宋体"/>
          <w:color w:val="000000" w:themeColor="text1"/>
          <w:kern w:val="0"/>
          <w:sz w:val="24"/>
          <w:szCs w:val="24"/>
          <w:highlight w:val="none"/>
          <w14:textFill>
            <w14:solidFill>
              <w14:schemeClr w14:val="tx1"/>
            </w14:solidFill>
          </w14:textFill>
        </w:rPr>
        <w:t>月</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1</w:t>
      </w:r>
      <w:r>
        <w:rPr>
          <w:rFonts w:hint="eastAsia" w:ascii="Times New Roman" w:hAnsi="Times New Roman" w:eastAsia="宋体" w:cs="宋体"/>
          <w:color w:val="000000" w:themeColor="text1"/>
          <w:kern w:val="0"/>
          <w:sz w:val="24"/>
          <w:szCs w:val="24"/>
          <w:highlight w:val="none"/>
          <w14:textFill>
            <w14:solidFill>
              <w14:schemeClr w14:val="tx1"/>
            </w14:solidFill>
          </w14:textFill>
        </w:rPr>
        <w:t>日</w:t>
      </w:r>
      <w:r>
        <w:rPr>
          <w:rFonts w:hint="eastAsia" w:ascii="Times New Roman" w:hAnsi="Times New Roman" w:eastAsia="宋体" w:cs="宋体"/>
          <w:color w:val="000000" w:themeColor="text1"/>
          <w:kern w:val="0"/>
          <w:sz w:val="24"/>
          <w:szCs w:val="24"/>
          <w:highlight w:val="none"/>
          <w14:textFill>
            <w14:solidFill>
              <w14:schemeClr w14:val="tx1"/>
            </w14:solidFill>
          </w14:textFill>
        </w:rPr>
        <w:t>北京时间1</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6</w:t>
      </w:r>
      <w:r>
        <w:rPr>
          <w:rFonts w:ascii="宋体" w:hAnsi="宋体" w:eastAsia="宋体" w:cs="Times New Roman"/>
          <w:sz w:val="24"/>
          <w:szCs w:val="24"/>
          <w:highlight w:val="none"/>
        </w:rPr>
        <w:t>:</w:t>
      </w:r>
      <w:r>
        <w:rPr>
          <w:rFonts w:hint="eastAsia" w:ascii="Times New Roman" w:hAnsi="Times New Roman" w:eastAsia="宋体" w:cs="宋体"/>
          <w:color w:val="000000" w:themeColor="text1"/>
          <w:kern w:val="0"/>
          <w:sz w:val="24"/>
          <w:szCs w:val="24"/>
          <w:highlight w:val="none"/>
          <w14:textFill>
            <w14:solidFill>
              <w14:schemeClr w14:val="tx1"/>
            </w14:solidFill>
          </w14:textFill>
        </w:rPr>
        <w:t>00截止。</w:t>
      </w:r>
    </w:p>
    <w:p>
      <w:pPr>
        <w:spacing w:line="360" w:lineRule="auto"/>
        <w:ind w:left="425" w:hanging="424" w:hangingChars="177"/>
        <w:rPr>
          <w:rFonts w:ascii="宋体" w:hAnsi="宋体" w:eastAsia="宋体" w:cs="Times New Roman"/>
          <w:sz w:val="24"/>
          <w:szCs w:val="24"/>
          <w:highlight w:val="none"/>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4、</w:t>
      </w:r>
      <w:r>
        <w:rPr>
          <w:rFonts w:hint="eastAsia" w:ascii="宋体" w:hAnsi="宋体" w:eastAsia="宋体" w:cs="Times New Roman"/>
          <w:sz w:val="24"/>
          <w:szCs w:val="24"/>
          <w:highlight w:val="none"/>
        </w:rPr>
        <w:t>递交文件截止时间、地点及要求：</w:t>
      </w:r>
    </w:p>
    <w:p>
      <w:pPr>
        <w:spacing w:line="360" w:lineRule="auto"/>
        <w:ind w:left="423" w:leftChars="114" w:hanging="184" w:hangingChars="77"/>
        <w:rPr>
          <w:rFonts w:ascii="宋体" w:hAnsi="宋体" w:eastAsia="宋体" w:cs="Times New Roman"/>
          <w:sz w:val="24"/>
          <w:szCs w:val="24"/>
          <w:highlight w:val="none"/>
        </w:rPr>
      </w:pPr>
      <w:r>
        <w:rPr>
          <w:rFonts w:hint="eastAsia" w:ascii="宋体" w:hAnsi="宋体" w:eastAsia="宋体" w:cs="Times New Roman"/>
          <w:sz w:val="24"/>
          <w:szCs w:val="24"/>
          <w:highlight w:val="none"/>
        </w:rPr>
        <w:t>截止时间：</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5</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9</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3</w:t>
      </w:r>
      <w:r>
        <w:rPr>
          <w:rFonts w:hint="eastAsia" w:ascii="宋体" w:hAnsi="宋体" w:eastAsia="宋体" w:cs="Times New Roman"/>
          <w:sz w:val="24"/>
          <w:szCs w:val="24"/>
          <w:highlight w:val="none"/>
        </w:rPr>
        <w:t>日</w:t>
      </w:r>
      <w:r>
        <w:rPr>
          <w:rFonts w:hint="eastAsia" w:ascii="宋体" w:hAnsi="宋体" w:eastAsia="宋体" w:cs="Times New Roman"/>
          <w:sz w:val="24"/>
          <w:szCs w:val="24"/>
          <w:highlight w:val="none"/>
        </w:rPr>
        <w:t>北京时间</w:t>
      </w:r>
      <w:r>
        <w:rPr>
          <w:rFonts w:hint="eastAsia" w:ascii="Times New Roman" w:hAnsi="Times New Roman" w:eastAsia="宋体" w:cs="Times New Roman"/>
          <w:sz w:val="24"/>
          <w:szCs w:val="24"/>
          <w:highlight w:val="none"/>
        </w:rPr>
        <w:t>10</w:t>
      </w:r>
      <w:r>
        <w:rPr>
          <w:rFonts w:ascii="宋体" w:hAnsi="宋体" w:eastAsia="宋体" w:cs="Times New Roman"/>
          <w:sz w:val="24"/>
          <w:szCs w:val="24"/>
          <w:highlight w:val="none"/>
        </w:rPr>
        <w:t>:</w:t>
      </w:r>
      <w:r>
        <w:rPr>
          <w:rFonts w:hint="eastAsia" w:ascii="Times New Roman" w:hAnsi="Times New Roman" w:eastAsia="宋体" w:cs="Times New Roman"/>
          <w:sz w:val="24"/>
          <w:szCs w:val="24"/>
          <w:highlight w:val="none"/>
          <w:lang w:val="en-US" w:eastAsia="zh-CN"/>
        </w:rPr>
        <w:t>0</w:t>
      </w:r>
      <w:r>
        <w:rPr>
          <w:rFonts w:hint="eastAsia" w:ascii="Times New Roman" w:hAnsi="Times New Roman" w:eastAsia="宋体" w:cs="Times New Roman"/>
          <w:sz w:val="24"/>
          <w:szCs w:val="24"/>
          <w:highlight w:val="none"/>
        </w:rPr>
        <w:t>0</w:t>
      </w:r>
    </w:p>
    <w:p>
      <w:pPr>
        <w:spacing w:line="360" w:lineRule="auto"/>
        <w:ind w:left="423" w:leftChars="114" w:hanging="184" w:hangingChars="77"/>
        <w:rPr>
          <w:rFonts w:ascii="宋体" w:hAnsi="宋体" w:eastAsia="宋体" w:cs="Times New Roman"/>
          <w:sz w:val="24"/>
          <w:szCs w:val="24"/>
          <w:highlight w:val="none"/>
        </w:rPr>
      </w:pPr>
      <w:r>
        <w:rPr>
          <w:rFonts w:hint="eastAsia" w:ascii="宋体" w:hAnsi="宋体" w:eastAsia="宋体" w:cs="Times New Roman"/>
          <w:sz w:val="24"/>
          <w:szCs w:val="24"/>
          <w:highlight w:val="none"/>
        </w:rPr>
        <w:t>地点：中国上海市</w:t>
      </w:r>
      <w:r>
        <w:rPr>
          <w:rFonts w:hint="eastAsia" w:ascii="宋体" w:hAnsi="宋体" w:eastAsia="宋体" w:cs="Times New Roman"/>
          <w:sz w:val="24"/>
          <w:szCs w:val="24"/>
          <w:highlight w:val="none"/>
          <w:lang w:val="en-US" w:eastAsia="zh-CN"/>
        </w:rPr>
        <w:t>嘉定区荣联路68</w:t>
      </w:r>
      <w:r>
        <w:rPr>
          <w:rFonts w:hint="eastAsia" w:ascii="宋体" w:hAnsi="宋体" w:eastAsia="宋体" w:cs="Times New Roman"/>
          <w:sz w:val="24"/>
          <w:szCs w:val="24"/>
          <w:highlight w:val="none"/>
        </w:rPr>
        <w:t>号上海市中医医院采购处</w:t>
      </w:r>
    </w:p>
    <w:bookmarkEnd w:id="6"/>
    <w:bookmarkEnd w:id="7"/>
    <w:p>
      <w:pPr>
        <w:autoSpaceDE w:val="0"/>
        <w:autoSpaceDN w:val="0"/>
        <w:spacing w:line="360" w:lineRule="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5.采购人信息</w:t>
      </w:r>
    </w:p>
    <w:bookmarkEnd w:id="2"/>
    <w:bookmarkEnd w:id="3"/>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买方名称：上海市中医医院</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买方地址：中国上海</w:t>
      </w:r>
      <w:r>
        <w:rPr>
          <w:rFonts w:hint="eastAsia" w:ascii="宋体" w:hAnsi="宋体" w:eastAsia="宋体" w:cs="Times New Roman"/>
          <w:sz w:val="24"/>
          <w:szCs w:val="24"/>
          <w:lang w:val="en-US" w:eastAsia="zh-CN"/>
        </w:rPr>
        <w:t>嘉定区</w:t>
      </w:r>
      <w:r>
        <w:rPr>
          <w:rFonts w:hint="eastAsia" w:ascii="宋体" w:hAnsi="宋体" w:eastAsia="宋体" w:cs="Times New Roman"/>
          <w:sz w:val="24"/>
          <w:szCs w:val="20"/>
          <w:lang w:val="en-US" w:eastAsia="zh-CN"/>
        </w:rPr>
        <w:t>荣联路68</w:t>
      </w:r>
      <w:r>
        <w:rPr>
          <w:rFonts w:hint="eastAsia" w:ascii="宋体" w:hAnsi="宋体" w:eastAsia="宋体" w:cs="Times New Roman"/>
          <w:sz w:val="24"/>
          <w:szCs w:val="20"/>
        </w:rPr>
        <w:t>号</w:t>
      </w:r>
    </w:p>
    <w:p>
      <w:pPr>
        <w:spacing w:line="360" w:lineRule="auto"/>
        <w:jc w:val="left"/>
        <w:rPr>
          <w:rFonts w:hint="default" w:ascii="宋体" w:hAnsi="宋体" w:eastAsia="宋体" w:cs="Times New Roman"/>
          <w:sz w:val="24"/>
          <w:szCs w:val="20"/>
          <w:lang w:val="en-US" w:eastAsia="zh-CN"/>
        </w:rPr>
      </w:pPr>
      <w:r>
        <w:rPr>
          <w:rFonts w:hint="eastAsia" w:ascii="宋体" w:hAnsi="宋体" w:eastAsia="宋体" w:cs="Times New Roman"/>
          <w:sz w:val="24"/>
          <w:szCs w:val="20"/>
        </w:rPr>
        <w:t>邮编：</w:t>
      </w:r>
      <w:r>
        <w:rPr>
          <w:rFonts w:ascii="宋体" w:hAnsi="宋体" w:eastAsia="宋体" w:cs="Times New Roman"/>
          <w:sz w:val="24"/>
          <w:szCs w:val="20"/>
        </w:rPr>
        <w:t>20</w:t>
      </w:r>
      <w:r>
        <w:rPr>
          <w:rFonts w:hint="eastAsia" w:ascii="宋体" w:hAnsi="宋体" w:eastAsia="宋体" w:cs="Times New Roman"/>
          <w:sz w:val="24"/>
          <w:szCs w:val="20"/>
          <w:lang w:val="en-US" w:eastAsia="zh-CN"/>
        </w:rPr>
        <w:t>1822</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电话：021-</w:t>
      </w:r>
      <w:r>
        <w:rPr>
          <w:rFonts w:ascii="宋体" w:hAnsi="宋体" w:eastAsia="宋体" w:cs="Times New Roman"/>
          <w:sz w:val="24"/>
          <w:szCs w:val="20"/>
        </w:rPr>
        <w:t>56639828-</w:t>
      </w:r>
      <w:r>
        <w:rPr>
          <w:rFonts w:hint="eastAsia" w:ascii="宋体" w:hAnsi="宋体" w:eastAsia="宋体" w:cs="Times New Roman"/>
          <w:sz w:val="24"/>
          <w:szCs w:val="20"/>
          <w:lang w:val="en-US" w:eastAsia="zh-CN"/>
        </w:rPr>
        <w:t>52</w:t>
      </w:r>
      <w:r>
        <w:rPr>
          <w:rFonts w:hint="eastAsia" w:ascii="宋体" w:hAnsi="宋体" w:eastAsia="宋体" w:cs="Times New Roman"/>
          <w:sz w:val="24"/>
          <w:szCs w:val="20"/>
        </w:rPr>
        <w:t>237</w:t>
      </w:r>
    </w:p>
    <w:p>
      <w:pPr>
        <w:autoSpaceDE w:val="0"/>
        <w:autoSpaceDN w:val="0"/>
        <w:spacing w:line="360" w:lineRule="auto"/>
        <w:jc w:val="left"/>
        <w:rPr>
          <w:rFonts w:hint="eastAsia" w:ascii="宋体" w:hAnsi="宋体" w:eastAsia="宋体" w:cs="Times New Roman"/>
          <w:sz w:val="24"/>
          <w:szCs w:val="20"/>
          <w:lang w:eastAsia="zh-CN"/>
        </w:rPr>
      </w:pPr>
      <w:r>
        <w:rPr>
          <w:rFonts w:hint="eastAsia" w:ascii="宋体" w:hAnsi="宋体" w:eastAsia="宋体" w:cs="Times New Roman"/>
          <w:sz w:val="24"/>
          <w:szCs w:val="20"/>
        </w:rPr>
        <w:t>联系人：</w:t>
      </w:r>
      <w:r>
        <w:rPr>
          <w:rFonts w:hint="eastAsia" w:ascii="宋体" w:hAnsi="宋体" w:eastAsia="宋体" w:cs="Times New Roman"/>
          <w:sz w:val="24"/>
          <w:szCs w:val="20"/>
          <w:highlight w:val="none"/>
          <w:lang w:val="en-US" w:eastAsia="zh-CN"/>
        </w:rPr>
        <w:t>陆海玲</w:t>
      </w:r>
    </w:p>
    <w:p>
      <w:pPr>
        <w:spacing w:line="360" w:lineRule="auto"/>
        <w:rPr>
          <w:rFonts w:ascii="宋体" w:hAnsi="宋体" w:eastAsia="宋体" w:cs="Times New Roman"/>
          <w:sz w:val="24"/>
          <w:szCs w:val="24"/>
        </w:rPr>
        <w:sectPr>
          <w:headerReference r:id="rId10" w:type="first"/>
          <w:headerReference r:id="rId8" w:type="default"/>
          <w:footerReference r:id="rId11" w:type="default"/>
          <w:headerReference r:id="rId9" w:type="even"/>
          <w:pgSz w:w="11906" w:h="16838"/>
          <w:pgMar w:top="1418" w:right="1134" w:bottom="1134" w:left="1134" w:header="567" w:footer="567" w:gutter="0"/>
          <w:pgBorders>
            <w:top w:val="none" w:sz="0" w:space="0"/>
            <w:left w:val="none" w:sz="0" w:space="0"/>
            <w:bottom w:val="none" w:sz="0" w:space="0"/>
            <w:right w:val="none" w:sz="0" w:space="0"/>
          </w:pgBorders>
          <w:cols w:space="425" w:num="1"/>
          <w:docGrid w:type="linesAndChars" w:linePitch="312" w:charSpace="0"/>
        </w:sectPr>
      </w:pPr>
    </w:p>
    <w:p>
      <w:pPr>
        <w:keepNext/>
        <w:keepLines/>
        <w:autoSpaceDE w:val="0"/>
        <w:autoSpaceDN w:val="0"/>
        <w:spacing w:before="260" w:after="260" w:line="360" w:lineRule="auto"/>
        <w:jc w:val="center"/>
        <w:outlineLvl w:val="2"/>
        <w:rPr>
          <w:rFonts w:ascii="宋体" w:hAnsi="宋体" w:eastAsia="宋体" w:cs="Times New Roman"/>
          <w:b/>
          <w:sz w:val="36"/>
          <w:szCs w:val="20"/>
        </w:rPr>
      </w:pPr>
      <w:bookmarkStart w:id="8" w:name="_Toc516880880"/>
      <w:bookmarkStart w:id="9" w:name="_Toc11326093"/>
      <w:bookmarkStart w:id="10" w:name="_Toc9066359"/>
      <w:r>
        <w:rPr>
          <w:rFonts w:hint="eastAsia" w:ascii="宋体" w:hAnsi="宋体" w:eastAsia="宋体" w:cs="Times New Roman"/>
          <w:b/>
          <w:sz w:val="36"/>
          <w:szCs w:val="20"/>
        </w:rPr>
        <w:t xml:space="preserve">第二章 </w:t>
      </w:r>
      <w:r>
        <w:rPr>
          <w:rFonts w:ascii="宋体" w:hAnsi="宋体" w:eastAsia="宋体" w:cs="Times New Roman"/>
          <w:b/>
          <w:sz w:val="36"/>
          <w:szCs w:val="20"/>
        </w:rPr>
        <w:tab/>
      </w:r>
      <w:r>
        <w:rPr>
          <w:rFonts w:hint="eastAsia" w:ascii="宋体" w:hAnsi="宋体" w:eastAsia="宋体" w:cs="Times New Roman"/>
          <w:b/>
          <w:sz w:val="36"/>
          <w:szCs w:val="20"/>
        </w:rPr>
        <w:t>投标资料表</w:t>
      </w:r>
      <w:bookmarkEnd w:id="8"/>
      <w:bookmarkEnd w:id="9"/>
      <w:bookmarkEnd w:id="10"/>
    </w:p>
    <w:tbl>
      <w:tblPr>
        <w:tblStyle w:val="32"/>
        <w:tblW w:w="93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8"/>
        <w:gridCol w:w="8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tabs>
                <w:tab w:val="left" w:pos="532"/>
              </w:tabs>
              <w:autoSpaceDE w:val="0"/>
              <w:autoSpaceDN w:val="0"/>
              <w:spacing w:before="120" w:after="120"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条款号</w:t>
            </w:r>
          </w:p>
        </w:tc>
        <w:tc>
          <w:tcPr>
            <w:tcW w:w="8366" w:type="dxa"/>
            <w:vAlign w:val="center"/>
          </w:tcPr>
          <w:p>
            <w:pPr>
              <w:tabs>
                <w:tab w:val="left" w:pos="532"/>
              </w:tabs>
              <w:autoSpaceDE w:val="0"/>
              <w:autoSpaceDN w:val="0"/>
              <w:spacing w:before="120" w:after="120" w:line="360" w:lineRule="auto"/>
              <w:ind w:left="57" w:right="57"/>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364" w:type="dxa"/>
            <w:gridSpan w:val="2"/>
            <w:vAlign w:val="center"/>
          </w:tcPr>
          <w:p>
            <w:pPr>
              <w:kinsoku w:val="0"/>
              <w:autoSpaceDE w:val="0"/>
              <w:autoSpaceDN w:val="0"/>
              <w:spacing w:line="360" w:lineRule="auto"/>
              <w:ind w:left="29" w:right="57" w:firstLine="28"/>
              <w:jc w:val="center"/>
              <w:textAlignment w:val="bottom"/>
              <w:rPr>
                <w:rFonts w:ascii="宋体" w:hAnsi="宋体" w:eastAsia="宋体" w:cs="Times New Roman"/>
                <w:b/>
                <w:sz w:val="24"/>
                <w:szCs w:val="20"/>
                <w:highlight w:val="none"/>
              </w:rPr>
            </w:pPr>
            <w:r>
              <w:rPr>
                <w:rFonts w:hint="eastAsia" w:ascii="宋体" w:hAnsi="宋体" w:eastAsia="宋体" w:cs="Times New Roman"/>
                <w:b/>
                <w:sz w:val="24"/>
                <w:szCs w:val="2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招标人名称：上海市中医医院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w:t>
            </w:r>
            <w:r>
              <w:rPr>
                <w:rFonts w:ascii="宋体" w:hAnsi="宋体" w:eastAsia="宋体" w:cs="Times New Roman"/>
                <w:sz w:val="24"/>
                <w:szCs w:val="20"/>
                <w:highlight w:val="none"/>
              </w:rPr>
              <w:t>2</w:t>
            </w:r>
          </w:p>
        </w:tc>
        <w:tc>
          <w:tcPr>
            <w:tcW w:w="8366" w:type="dxa"/>
            <w:vAlign w:val="center"/>
          </w:tcPr>
          <w:p>
            <w:pPr>
              <w:autoSpaceDE w:val="0"/>
              <w:autoSpaceDN w:val="0"/>
              <w:spacing w:line="360" w:lineRule="auto"/>
              <w:rPr>
                <w:rFonts w:hint="default" w:ascii="宋体" w:hAnsi="宋体" w:eastAsia="宋体" w:cs="Times New Roman"/>
                <w:sz w:val="24"/>
                <w:szCs w:val="20"/>
                <w:highlight w:val="none"/>
                <w:lang w:val="en-US"/>
              </w:rPr>
            </w:pPr>
            <w:r>
              <w:rPr>
                <w:rFonts w:hint="eastAsia" w:ascii="宋体" w:hAnsi="宋体" w:eastAsia="宋体" w:cs="Times New Roman"/>
                <w:sz w:val="24"/>
                <w:szCs w:val="20"/>
                <w:highlight w:val="none"/>
              </w:rPr>
              <w:t>项目名称：测序反应通用试剂盒</w:t>
            </w:r>
            <w:r>
              <w:rPr>
                <w:rFonts w:hint="eastAsia" w:ascii="宋体" w:hAnsi="宋体" w:eastAsia="宋体" w:cs="Times New Roman"/>
                <w:sz w:val="24"/>
                <w:szCs w:val="20"/>
                <w:highlight w:val="none"/>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1.3</w:t>
            </w:r>
          </w:p>
        </w:tc>
        <w:tc>
          <w:tcPr>
            <w:tcW w:w="8366" w:type="dxa"/>
            <w:vAlign w:val="center"/>
          </w:tcPr>
          <w:p>
            <w:pPr>
              <w:autoSpaceDE w:val="0"/>
              <w:autoSpaceDN w:val="0"/>
              <w:spacing w:line="360" w:lineRule="auto"/>
              <w:rPr>
                <w:rFonts w:hint="default" w:ascii="宋体" w:hAnsi="宋体" w:eastAsia="宋体" w:cs="Times New Roman"/>
                <w:sz w:val="24"/>
                <w:szCs w:val="20"/>
                <w:highlight w:val="none"/>
                <w:lang w:val="en-US"/>
              </w:rPr>
            </w:pPr>
            <w:r>
              <w:rPr>
                <w:rFonts w:hint="eastAsia" w:ascii="宋体" w:hAnsi="宋体" w:eastAsia="宋体" w:cs="Times New Roman"/>
                <w:sz w:val="24"/>
                <w:szCs w:val="20"/>
                <w:highlight w:val="none"/>
              </w:rPr>
              <w:t>合同名称：测序反应通用试剂盒</w:t>
            </w:r>
            <w:r>
              <w:rPr>
                <w:rFonts w:hint="eastAsia" w:ascii="宋体" w:hAnsi="宋体" w:eastAsia="宋体" w:cs="Times New Roman"/>
                <w:sz w:val="24"/>
                <w:szCs w:val="20"/>
                <w:highlight w:val="none"/>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w:t>
            </w:r>
            <w:r>
              <w:rPr>
                <w:rFonts w:ascii="宋体" w:hAnsi="宋体" w:eastAsia="宋体" w:cs="Times New Roman"/>
                <w:sz w:val="24"/>
                <w:szCs w:val="20"/>
                <w:highlight w:val="none"/>
              </w:rPr>
              <w:t>4</w:t>
            </w:r>
          </w:p>
        </w:tc>
        <w:tc>
          <w:tcPr>
            <w:tcW w:w="8366" w:type="dxa"/>
            <w:vAlign w:val="center"/>
          </w:tcPr>
          <w:p>
            <w:pPr>
              <w:kinsoku w:val="0"/>
              <w:autoSpaceDE w:val="0"/>
              <w:autoSpaceDN w:val="0"/>
              <w:spacing w:line="360" w:lineRule="auto"/>
              <w:ind w:left="1782" w:right="57" w:hanging="1725"/>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资金性质：</w:t>
            </w:r>
            <w:r>
              <w:rPr>
                <w:rFonts w:hint="eastAsia" w:ascii="宋体" w:hAnsi="宋体" w:eastAsia="宋体" w:cs="Times New Roman"/>
                <w:sz w:val="24"/>
                <w:szCs w:val="20"/>
                <w:highlight w:val="none"/>
                <w:lang w:val="en-US" w:eastAsia="zh-CN"/>
              </w:rPr>
              <w:t>自筹</w:t>
            </w:r>
            <w:r>
              <w:rPr>
                <w:rFonts w:hint="eastAsia" w:ascii="宋体" w:hAnsi="宋体" w:eastAsia="宋体" w:cs="Times New Roman"/>
                <w:sz w:val="24"/>
                <w:szCs w:val="20"/>
                <w:highlight w:val="none"/>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2</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投标人未在规定的时间内报名，不得参加投标。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2.</w:t>
            </w:r>
            <w:r>
              <w:rPr>
                <w:rFonts w:hint="eastAsia" w:ascii="宋体" w:hAnsi="宋体" w:eastAsia="宋体" w:cs="Times New Roman"/>
                <w:sz w:val="24"/>
                <w:szCs w:val="20"/>
                <w:highlight w:val="none"/>
              </w:rPr>
              <w:t>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sz w:val="24"/>
                <w:szCs w:val="24"/>
                <w:highlight w:val="none"/>
              </w:rPr>
              <w:t>潜在供应商或者其他利害关系人对采购文件有异议的，应当在询价响应文件递交截止时间2日前提出。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364" w:type="dxa"/>
            <w:gridSpan w:val="2"/>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投标文件的编制和递交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3</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投标语言：中文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4</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投标人应提供下列文件，并按顺序装订成册，编制投标文件目录：</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1.投标书</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投标人应按照招标文件中提供的格式完整、正确填写投标书。</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2.开标一览表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（1）开标一览表应填写项目总价。</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（2）投标人应按照招标文件中提供的格式完整、正确填写开标一览表。开标一览表中的投标总价应与投标分项报价表中总价完全一致，否则将可能否决其投标。</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3.投标分项报价表</w:t>
            </w:r>
            <w:r>
              <w:rPr>
                <w:rFonts w:hint="eastAsia" w:ascii="宋体" w:hAnsi="宋体" w:eastAsia="宋体" w:cs="Times New Roman"/>
                <w:sz w:val="24"/>
                <w:szCs w:val="20"/>
                <w:highlight w:val="none"/>
                <w:lang w:eastAsia="zh-CN"/>
              </w:rPr>
              <w:t>。</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4.货物说明一览表</w:t>
            </w:r>
            <w:r>
              <w:rPr>
                <w:rFonts w:hint="eastAsia" w:ascii="宋体" w:hAnsi="宋体" w:eastAsia="宋体" w:cs="Times New Roman"/>
                <w:sz w:val="24"/>
                <w:szCs w:val="20"/>
                <w:highlight w:val="none"/>
                <w:lang w:eastAsia="zh-CN"/>
              </w:rPr>
              <w:t>。</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5.响应/偏离表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投标人应按《招标文件》要求填写技术规格响应/偏离表、商务条款响应/偏离表。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6.投标人资格证明文件</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投标人资质证明文件具体内容见规定。</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lang w:val="en-US" w:eastAsia="zh-CN"/>
              </w:rPr>
              <w:t>7</w:t>
            </w:r>
            <w:r>
              <w:rPr>
                <w:rFonts w:hint="eastAsia" w:ascii="宋体" w:hAnsi="宋体" w:eastAsia="宋体" w:cs="Times New Roman"/>
                <w:sz w:val="24"/>
                <w:szCs w:val="20"/>
                <w:highlight w:val="none"/>
              </w:rPr>
              <w:t>.投标设备相关的技术服务、安装调试及保修服务的售后服务承诺书。</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lang w:val="en-US" w:eastAsia="zh-CN"/>
              </w:rPr>
              <w:t>8</w:t>
            </w:r>
            <w:r>
              <w:rPr>
                <w:rFonts w:hint="eastAsia" w:ascii="宋体" w:hAnsi="宋体" w:eastAsia="宋体" w:cs="Times New Roman"/>
                <w:sz w:val="24"/>
                <w:szCs w:val="20"/>
                <w:highlight w:val="none"/>
              </w:rPr>
              <w:t>.其他资料（投标人认为有必要提交的其他资料）</w:t>
            </w:r>
            <w:r>
              <w:rPr>
                <w:rFonts w:hint="eastAsia" w:ascii="宋体" w:hAnsi="宋体" w:eastAsia="宋体" w:cs="Times New Roman"/>
                <w:sz w:val="24"/>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lang w:val="en-US" w:eastAsia="zh-CN"/>
              </w:rPr>
              <w:t>5</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ascii="宋体" w:hAnsi="宋体" w:eastAsia="宋体" w:cs="Times New Roman"/>
                <w:sz w:val="24"/>
                <w:szCs w:val="20"/>
                <w:highlight w:val="none"/>
              </w:rPr>
              <w:t>投标人</w:t>
            </w:r>
            <w:r>
              <w:rPr>
                <w:rFonts w:hint="eastAsia" w:ascii="宋体" w:hAnsi="宋体" w:eastAsia="宋体" w:cs="Times New Roman"/>
                <w:sz w:val="24"/>
                <w:szCs w:val="20"/>
                <w:highlight w:val="none"/>
              </w:rPr>
              <w:t>应严格按照招标文件规定的格式和内容编制投标文件，</w:t>
            </w:r>
            <w:r>
              <w:rPr>
                <w:rFonts w:ascii="宋体" w:hAnsi="宋体" w:eastAsia="宋体" w:cs="Times New Roman"/>
                <w:sz w:val="24"/>
                <w:szCs w:val="20"/>
                <w:highlight w:val="none"/>
              </w:rPr>
              <w:t>要求对本招标文件</w:t>
            </w:r>
            <w:r>
              <w:rPr>
                <w:rFonts w:hint="eastAsia" w:ascii="宋体" w:hAnsi="宋体" w:eastAsia="宋体" w:cs="Times New Roman"/>
                <w:sz w:val="24"/>
                <w:szCs w:val="20"/>
                <w:highlight w:val="none"/>
                <w:lang w:val="en-US" w:eastAsia="zh-CN"/>
              </w:rPr>
              <w:t>4.1</w:t>
            </w:r>
            <w:r>
              <w:rPr>
                <w:rFonts w:ascii="宋体" w:hAnsi="宋体" w:eastAsia="宋体" w:cs="Times New Roman"/>
                <w:sz w:val="24"/>
                <w:szCs w:val="20"/>
                <w:highlight w:val="none"/>
              </w:rPr>
              <w:t>所提出各项要求进行逐条逐项答复、说明和解释，</w:t>
            </w:r>
            <w:r>
              <w:rPr>
                <w:rFonts w:hint="eastAsia" w:ascii="宋体" w:hAnsi="宋体" w:eastAsia="宋体" w:cs="Times New Roman"/>
                <w:sz w:val="24"/>
                <w:szCs w:val="20"/>
                <w:highlight w:val="none"/>
              </w:rPr>
              <w:t>并填写在</w:t>
            </w:r>
            <w:r>
              <w:rPr>
                <w:rFonts w:ascii="宋体" w:hAnsi="宋体" w:eastAsia="宋体" w:cs="Times New Roman"/>
                <w:sz w:val="24"/>
                <w:szCs w:val="20"/>
                <w:highlight w:val="none"/>
              </w:rPr>
              <w:t>技术</w:t>
            </w:r>
            <w:r>
              <w:rPr>
                <w:rFonts w:hint="eastAsia" w:ascii="宋体" w:hAnsi="宋体" w:eastAsia="宋体" w:cs="Times New Roman"/>
                <w:sz w:val="24"/>
                <w:szCs w:val="20"/>
                <w:highlight w:val="none"/>
              </w:rPr>
              <w:t>规格响应/</w:t>
            </w:r>
            <w:r>
              <w:rPr>
                <w:rFonts w:ascii="宋体" w:hAnsi="宋体" w:eastAsia="宋体" w:cs="Times New Roman"/>
                <w:sz w:val="24"/>
                <w:szCs w:val="20"/>
                <w:highlight w:val="none"/>
              </w:rPr>
              <w:t>偏离表</w:t>
            </w:r>
            <w:r>
              <w:rPr>
                <w:rFonts w:hint="eastAsia" w:ascii="宋体" w:hAnsi="宋体" w:eastAsia="宋体" w:cs="Times New Roman"/>
                <w:sz w:val="24"/>
                <w:szCs w:val="20"/>
                <w:highlight w:val="none"/>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5</w:t>
            </w:r>
            <w:r>
              <w:rPr>
                <w:rFonts w:hint="eastAsia" w:ascii="宋体" w:hAnsi="宋体" w:eastAsia="宋体" w:cs="Times New Roman"/>
                <w:sz w:val="24"/>
                <w:szCs w:val="20"/>
                <w:highlight w:val="none"/>
              </w:rPr>
              <w:t>.2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（1）投标总价中不得缺漏招标文件要求分项报价的内容，投标人投标报价缺漏项达到或超过15%（无论数量或金额），其投标将被否决。</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投标人投标报价缺漏项未达到或超过15%（无论数量或金额），且投标人确认缺漏项已包含在投标总价中，评标时将其他有效投标中该项的最高价计入其评标总价；若投标人确认缺漏项不包含在投标总价中，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5</w:t>
            </w:r>
            <w:r>
              <w:rPr>
                <w:rFonts w:hint="eastAsia" w:ascii="宋体" w:hAnsi="宋体" w:eastAsia="宋体" w:cs="Times New Roman"/>
                <w:sz w:val="24"/>
                <w:szCs w:val="20"/>
                <w:highlight w:val="none"/>
              </w:rPr>
              <w:t>.3</w:t>
            </w:r>
          </w:p>
        </w:tc>
        <w:tc>
          <w:tcPr>
            <w:tcW w:w="8366" w:type="dxa"/>
            <w:vAlign w:val="center"/>
          </w:tcPr>
          <w:p>
            <w:pPr>
              <w:autoSpaceDE w:val="0"/>
              <w:autoSpaceDN w:val="0"/>
              <w:spacing w:line="360" w:lineRule="auto"/>
              <w:ind w:left="105" w:right="57" w:hanging="4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投标人应根据第</w:t>
            </w:r>
            <w:r>
              <w:rPr>
                <w:rFonts w:hint="eastAsia" w:ascii="宋体" w:hAnsi="宋体" w:eastAsia="宋体" w:cs="Times New Roman"/>
                <w:sz w:val="24"/>
                <w:szCs w:val="20"/>
                <w:highlight w:val="none"/>
                <w:lang w:val="en-US" w:eastAsia="zh-CN"/>
              </w:rPr>
              <w:t>四</w:t>
            </w:r>
            <w:r>
              <w:rPr>
                <w:rFonts w:hint="eastAsia" w:ascii="宋体" w:hAnsi="宋体" w:eastAsia="宋体" w:cs="Times New Roman"/>
                <w:sz w:val="24"/>
                <w:szCs w:val="20"/>
                <w:highlight w:val="none"/>
              </w:rPr>
              <w:t>章</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货物需求一览表及技术规格</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中所列设备及要求报价，投标总价中不得包含超出招标文件要求以外的内容，否则在评标时不予核减。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5</w:t>
            </w:r>
            <w:r>
              <w:rPr>
                <w:rFonts w:hint="eastAsia" w:ascii="宋体" w:hAnsi="宋体" w:eastAsia="宋体" w:cs="Times New Roman"/>
                <w:sz w:val="24"/>
                <w:szCs w:val="20"/>
                <w:highlight w:val="none"/>
              </w:rPr>
              <w:t>.4</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本次招标不接受选择性报价或者有附加条件的报价。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5</w:t>
            </w:r>
            <w:r>
              <w:rPr>
                <w:rFonts w:hint="eastAsia" w:ascii="宋体" w:hAnsi="宋体" w:eastAsia="宋体" w:cs="Times New Roman"/>
                <w:sz w:val="24"/>
                <w:szCs w:val="20"/>
                <w:highlight w:val="none"/>
              </w:rPr>
              <w:t>.5</w:t>
            </w:r>
          </w:p>
        </w:tc>
        <w:tc>
          <w:tcPr>
            <w:tcW w:w="8366" w:type="dxa"/>
            <w:vAlign w:val="center"/>
          </w:tcPr>
          <w:p>
            <w:pPr>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本项目不设最高投标限价。本限价包含关税、增值税及进口环节中发生的一切费用。若投标报价高于最高投标限价，其投标将被否决。若因汇率波动或属于原产于特定国家（地区）特定进口商品加征关税且加征关税在实际进口时未被核准市场化采购排除的造成合同实际结算时超出本项目的人民币限价时，招标人不承担超出投标限价的部分，该部分费用由中标人承担。</w:t>
            </w:r>
          </w:p>
          <w:p>
            <w:pPr>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（1）若投标产品以外币报价且为中华人民共和国关境外交付的货物，按开标当日中国银行</w:t>
            </w:r>
            <w:r>
              <w:rPr>
                <w:rFonts w:ascii="宋体" w:hAnsi="宋体" w:eastAsia="宋体" w:cs="Times New Roman"/>
                <w:sz w:val="24"/>
                <w:szCs w:val="24"/>
                <w:highlight w:val="none"/>
              </w:rPr>
              <w:t>总行首次发布的外币对人民币的现汇卖出价进行投标货币的转换</w:t>
            </w:r>
            <w:r>
              <w:rPr>
                <w:rFonts w:hint="eastAsia" w:ascii="宋体" w:hAnsi="宋体" w:eastAsia="宋体" w:cs="Times New Roman"/>
                <w:sz w:val="24"/>
                <w:szCs w:val="24"/>
                <w:highlight w:val="none"/>
              </w:rPr>
              <w:t>，并加上进口环节税及进口环节中发生的一切费用进行合计，评标时以此判定是否超过投标限价。</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4"/>
                <w:highlight w:val="none"/>
              </w:rPr>
              <w:t>（2）若投标产品以外币报价且为中华人民共和国关境内交付的货物，按开标当日中国银行</w:t>
            </w:r>
            <w:r>
              <w:rPr>
                <w:rFonts w:ascii="宋体" w:hAnsi="宋体" w:eastAsia="宋体" w:cs="Times New Roman"/>
                <w:sz w:val="24"/>
                <w:szCs w:val="24"/>
                <w:highlight w:val="none"/>
              </w:rPr>
              <w:t>总行首次发布的外币对人民币的现汇卖出价进行投标货币的转换</w:t>
            </w:r>
            <w:r>
              <w:rPr>
                <w:rFonts w:hint="eastAsia" w:ascii="宋体" w:hAnsi="宋体" w:eastAsia="宋体" w:cs="Times New Roman"/>
                <w:sz w:val="24"/>
                <w:szCs w:val="24"/>
                <w:highlight w:val="none"/>
              </w:rPr>
              <w:t>，评标时以此判定是否超过投标限价。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5</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6</w:t>
            </w:r>
          </w:p>
        </w:tc>
        <w:tc>
          <w:tcPr>
            <w:tcW w:w="8366" w:type="dxa"/>
            <w:vAlign w:val="center"/>
          </w:tcPr>
          <w:p>
            <w:pPr>
              <w:autoSpaceDE w:val="0"/>
              <w:autoSpaceDN w:val="0"/>
              <w:spacing w:line="360" w:lineRule="auto"/>
              <w:ind w:left="525" w:right="57" w:hanging="46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从中华人民共和国关境内提供的货物，其投标报价包括：</w:t>
            </w:r>
          </w:p>
          <w:p>
            <w:pPr>
              <w:autoSpaceDE w:val="0"/>
              <w:autoSpaceDN w:val="0"/>
              <w:spacing w:line="360" w:lineRule="auto"/>
              <w:ind w:left="525" w:right="57" w:hanging="46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1）关境内制造的货物</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（1）EXW（出厂价）（应包括增值税和其它税费）</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（2）运至最终目的地的关境内运输费、保险费等相关费用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（3）各种售前、安装调试、验收以及移交等合同履行期间的伴随服务费用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（4）按照</w:t>
            </w:r>
            <w:r>
              <w:rPr>
                <w:rFonts w:hint="eastAsia" w:ascii="宋体" w:hAnsi="宋体" w:eastAsia="宋体" w:cs="Times New Roman"/>
                <w:sz w:val="24"/>
                <w:szCs w:val="20"/>
                <w:highlight w:val="none"/>
                <w:lang w:eastAsia="zh-CN"/>
              </w:rPr>
              <w:t>第四章</w:t>
            </w:r>
            <w:r>
              <w:rPr>
                <w:rFonts w:hint="eastAsia" w:ascii="宋体" w:hAnsi="宋体" w:eastAsia="宋体" w:cs="Times New Roman"/>
                <w:sz w:val="24"/>
                <w:szCs w:val="20"/>
                <w:highlight w:val="none"/>
              </w:rPr>
              <w:t>相应条款中列出的各类培训费用。</w:t>
            </w:r>
          </w:p>
          <w:p>
            <w:pPr>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2）投标截止时间前已经进口的货物</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（1）</w:t>
            </w:r>
            <w:r>
              <w:rPr>
                <w:rFonts w:hint="eastAsia" w:ascii="宋体" w:hAnsi="宋体" w:eastAsia="宋体" w:cs="Times New Roman"/>
                <w:sz w:val="24"/>
                <w:szCs w:val="20"/>
                <w:highlight w:val="none"/>
              </w:rPr>
              <w:t>仓库交货价（应包括增值税、关税和其他税费）</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（2）</w:t>
            </w:r>
            <w:r>
              <w:rPr>
                <w:rFonts w:hint="eastAsia" w:ascii="宋体" w:hAnsi="宋体" w:eastAsia="宋体" w:cs="Times New Roman"/>
                <w:sz w:val="24"/>
                <w:szCs w:val="20"/>
                <w:highlight w:val="none"/>
              </w:rPr>
              <w:t>运至最终目的地的关境内运输费、保险费等相关费用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（3）各种售前、安装调试、验收以及移交等合同履行期间的伴随服务费用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ascii="宋体" w:hAnsi="宋体" w:eastAsia="宋体" w:cs="Times New Roman"/>
                <w:sz w:val="24"/>
                <w:szCs w:val="20"/>
                <w:highlight w:val="none"/>
              </w:rPr>
            </w:pPr>
            <w:r>
              <w:rPr>
                <w:rFonts w:ascii="宋体" w:hAnsi="宋体" w:eastAsia="宋体" w:cs="Times New Roman"/>
                <w:sz w:val="24"/>
                <w:szCs w:val="20"/>
                <w:highlight w:val="none"/>
              </w:rPr>
              <w:t>（4）</w:t>
            </w:r>
            <w:r>
              <w:rPr>
                <w:rFonts w:hint="eastAsia" w:ascii="宋体" w:hAnsi="宋体" w:eastAsia="宋体" w:cs="Times New Roman"/>
                <w:sz w:val="24"/>
                <w:szCs w:val="20"/>
                <w:highlight w:val="none"/>
              </w:rPr>
              <w:t>按照</w:t>
            </w:r>
            <w:r>
              <w:rPr>
                <w:rFonts w:hint="eastAsia" w:ascii="宋体" w:hAnsi="宋体" w:eastAsia="宋体" w:cs="Times New Roman"/>
                <w:sz w:val="24"/>
                <w:szCs w:val="20"/>
                <w:highlight w:val="none"/>
                <w:lang w:eastAsia="zh-CN"/>
              </w:rPr>
              <w:t>第四章</w:t>
            </w:r>
            <w:r>
              <w:rPr>
                <w:rFonts w:hint="eastAsia" w:ascii="宋体" w:hAnsi="宋体" w:eastAsia="宋体" w:cs="Times New Roman"/>
                <w:sz w:val="24"/>
                <w:szCs w:val="20"/>
                <w:highlight w:val="none"/>
              </w:rPr>
              <w:t>相应条款中列出的各类培训费用。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6</w:t>
            </w:r>
            <w:r>
              <w:rPr>
                <w:rFonts w:hint="eastAsia" w:ascii="宋体" w:hAnsi="宋体" w:eastAsia="宋体" w:cs="Times New Roman"/>
                <w:sz w:val="24"/>
                <w:szCs w:val="20"/>
                <w:highlight w:val="none"/>
              </w:rPr>
              <w:t>.1</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从中华人民共和国关境内提供的货物和服务的投标货币：人民币。若以美元或其他货币报价，则视作该价格已包含关税、增值税等进口环节税和其他相关税费，在价格评议和签订合同时均按开标日中国银行总行首次发布的外币对人民币的现汇卖出价进行货币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6</w:t>
            </w:r>
            <w:r>
              <w:rPr>
                <w:rFonts w:hint="eastAsia" w:ascii="宋体" w:hAnsi="宋体" w:eastAsia="宋体" w:cs="Times New Roman"/>
                <w:sz w:val="24"/>
                <w:szCs w:val="20"/>
                <w:highlight w:val="none"/>
              </w:rPr>
              <w:t>.2</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从中华人民共和国关境外提供的货物和服务的投标货币：美元。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7</w:t>
            </w:r>
            <w:r>
              <w:rPr>
                <w:rFonts w:hint="eastAsia" w:ascii="宋体" w:hAnsi="宋体" w:eastAsia="宋体" w:cs="Times New Roman"/>
                <w:sz w:val="24"/>
                <w:szCs w:val="20"/>
                <w:highlight w:val="none"/>
              </w:rPr>
              <w:t>.1</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7</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2</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资格标准：</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（1）投标人具有</w:t>
            </w:r>
            <w:r>
              <w:rPr>
                <w:rFonts w:ascii="宋体" w:hAnsi="宋体" w:eastAsia="宋体" w:cs="Times New Roman"/>
                <w:sz w:val="24"/>
                <w:szCs w:val="20"/>
                <w:highlight w:val="none"/>
              </w:rPr>
              <w:t>合法经营资质的独立法人</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其他组织</w:t>
            </w:r>
            <w:r>
              <w:rPr>
                <w:rFonts w:hint="eastAsia" w:ascii="宋体" w:hAnsi="宋体" w:eastAsia="宋体" w:cs="Times New Roman"/>
                <w:sz w:val="24"/>
                <w:szCs w:val="20"/>
                <w:highlight w:val="none"/>
              </w:rPr>
              <w:t>，并具备相应的经营、业务范围</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（2）投标人未被“信用中国”网站（www.creditchina.gov.cn）、中国政府采购网（www.ccgp.gov.cn</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列入失信执行人、重大税收违法案件当事人名单、政府采购严重违法失信行为记录名单</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（3）投标人参加政府采购活动前三年内，在经营活动中没有重大违法记录</w:t>
            </w:r>
            <w:r>
              <w:rPr>
                <w:rFonts w:hint="eastAsia" w:ascii="宋体" w:hAnsi="宋体" w:eastAsia="宋体" w:cs="Times New Roman"/>
                <w:sz w:val="24"/>
                <w:szCs w:val="20"/>
                <w:highlight w:val="none"/>
                <w:lang w:eastAsia="zh-CN"/>
              </w:rPr>
              <w:t>。</w:t>
            </w:r>
            <w:r>
              <w:rPr>
                <w:rFonts w:ascii="宋体" w:hAnsi="宋体" w:eastAsia="宋体" w:cs="Times New Roman"/>
                <w:sz w:val="24"/>
                <w:szCs w:val="20"/>
                <w:highlight w:val="none"/>
              </w:rPr>
              <w:t xml:space="preserve"> </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（4）投标人是专业生产本次所需设备的制造商，或由制造商指定代理商作为本次投标的授权代理</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val="en-US" w:eastAsia="zh-CN"/>
              </w:rPr>
            </w:pPr>
            <w:r>
              <w:rPr>
                <w:rFonts w:ascii="宋体" w:hAnsi="宋体" w:eastAsia="宋体" w:cs="Times New Roman"/>
                <w:sz w:val="24"/>
                <w:szCs w:val="20"/>
                <w:highlight w:val="none"/>
              </w:rPr>
              <w:t>（5）投标人必须具有相应设备的《医疗器械生产企业许可证》或《医疗器械经营企业许可证》</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6</w:t>
            </w:r>
            <w:r>
              <w:rPr>
                <w:rFonts w:hint="eastAsia" w:ascii="宋体" w:hAnsi="宋体" w:eastAsia="宋体" w:cs="Times New Roman"/>
                <w:sz w:val="24"/>
                <w:szCs w:val="20"/>
                <w:highlight w:val="none"/>
              </w:rPr>
              <w:t>）投标人代表可以是法定代表人或被授权委托人。</w:t>
            </w:r>
          </w:p>
          <w:p>
            <w:pPr>
              <w:kinsoku w:val="0"/>
              <w:autoSpaceDE w:val="0"/>
              <w:autoSpaceDN w:val="0"/>
              <w:spacing w:line="360" w:lineRule="auto"/>
              <w:ind w:right="57" w:firstLine="480" w:firstLineChars="200"/>
              <w:textAlignment w:val="bottom"/>
              <w:rPr>
                <w:rFonts w:hint="eastAsia" w:ascii="宋体" w:hAnsi="宋体" w:eastAsia="宋体" w:cs="Times New Roman"/>
                <w:sz w:val="24"/>
                <w:szCs w:val="20"/>
                <w:highlight w:val="none"/>
              </w:rPr>
            </w:pPr>
            <w:r>
              <w:rPr>
                <w:rFonts w:hint="eastAsia" w:ascii="宋体" w:hAnsi="宋体" w:eastAsia="宋体" w:cs="Times New Roman"/>
                <w:sz w:val="24"/>
                <w:szCs w:val="20"/>
                <w:highlight w:val="none"/>
              </w:rPr>
              <w:t>投标人代表是法人代表的，提供《法定代表人（单位负责人）身份的证明》、身份证复印件。</w:t>
            </w:r>
          </w:p>
          <w:p>
            <w:pPr>
              <w:kinsoku w:val="0"/>
              <w:autoSpaceDE w:val="0"/>
              <w:autoSpaceDN w:val="0"/>
              <w:spacing w:line="360" w:lineRule="auto"/>
              <w:ind w:right="57" w:firstLine="480" w:firstLineChars="200"/>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投标人代表不是法人代表的，提供《法</w:t>
            </w:r>
            <w:bookmarkStart w:id="22" w:name="_GoBack"/>
            <w:bookmarkEnd w:id="22"/>
            <w:r>
              <w:rPr>
                <w:rFonts w:hint="eastAsia" w:ascii="宋体" w:hAnsi="宋体" w:eastAsia="宋体" w:cs="Times New Roman"/>
                <w:sz w:val="24"/>
                <w:szCs w:val="20"/>
                <w:highlight w:val="none"/>
              </w:rPr>
              <w:t>定代表人（单位负责人）身份的证明》、《法定代表人（单位负责人）授权委托书》、身份证复印件、投标单位为其缴纳社保的证明。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7</w:t>
            </w:r>
            <w:r>
              <w:rPr>
                <w:rFonts w:hint="eastAsia" w:ascii="宋体" w:hAnsi="宋体" w:eastAsia="宋体" w:cs="Times New Roman"/>
                <w:sz w:val="24"/>
                <w:szCs w:val="20"/>
                <w:highlight w:val="none"/>
              </w:rPr>
              <w:t>.3</w:t>
            </w:r>
          </w:p>
        </w:tc>
        <w:tc>
          <w:tcPr>
            <w:tcW w:w="8366" w:type="dxa"/>
            <w:vAlign w:val="center"/>
          </w:tcPr>
          <w:p>
            <w:pPr>
              <w:kinsoku w:val="0"/>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投标人必须提交的资格证明文件应包括：</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（1）投标人在注册地的相关注册法律文件。若投标人在中华人民共和国境内注册的，则必须提供营业执照</w:t>
            </w:r>
            <w:r>
              <w:rPr>
                <w:rFonts w:hint="eastAsia" w:ascii="宋体" w:hAnsi="宋体" w:eastAsia="宋体" w:cs="宋体"/>
                <w:kern w:val="0"/>
                <w:sz w:val="24"/>
                <w:szCs w:val="24"/>
                <w:highlight w:val="none"/>
              </w:rPr>
              <w:t>（或事业单位、社会团体相关证书）</w:t>
            </w:r>
            <w:r>
              <w:rPr>
                <w:rFonts w:hint="eastAsia" w:ascii="宋体" w:hAnsi="宋体" w:eastAsia="宋体" w:cs="Times New Roman"/>
                <w:sz w:val="24"/>
                <w:szCs w:val="20"/>
                <w:highlight w:val="none"/>
              </w:rPr>
              <w:t>的复印件</w:t>
            </w:r>
            <w:r>
              <w:rPr>
                <w:rFonts w:hint="eastAsia" w:ascii="宋体" w:hAnsi="宋体" w:eastAsia="宋体" w:cs="Times New Roman"/>
                <w:sz w:val="24"/>
                <w:szCs w:val="20"/>
                <w:highlight w:val="none"/>
                <w:lang w:eastAsia="zh-CN"/>
              </w:rPr>
              <w:t>。</w:t>
            </w:r>
          </w:p>
          <w:p>
            <w:pPr>
              <w:kinsoku w:val="0"/>
              <w:autoSpaceDE w:val="0"/>
              <w:autoSpaceDN w:val="0"/>
              <w:spacing w:line="360" w:lineRule="auto"/>
              <w:ind w:right="57"/>
              <w:textAlignment w:val="bottom"/>
              <w:rPr>
                <w:rFonts w:ascii="宋体" w:hAnsi="宋体" w:eastAsia="宋体" w:cs="Times New Roman"/>
                <w:strike/>
                <w:color w:val="00B0F0"/>
                <w:sz w:val="24"/>
                <w:szCs w:val="20"/>
                <w:highlight w:val="none"/>
              </w:rPr>
            </w:pPr>
            <w:r>
              <w:rPr>
                <w:rFonts w:hint="eastAsia" w:ascii="宋体" w:hAnsi="宋体" w:eastAsia="宋体" w:cs="Times New Roman"/>
                <w:sz w:val="24"/>
                <w:szCs w:val="20"/>
                <w:highlight w:val="none"/>
              </w:rPr>
              <w:t>（2）投标人应是专业生产本次所需主系统设备的制造商或制造商唯一授权的参与本次投标的代理商，且应得到制造商针对本次投标项目的制造商授权书，授权书的有效期应至少与投标有效期一致</w:t>
            </w:r>
            <w:r>
              <w:rPr>
                <w:rFonts w:hint="eastAsia" w:ascii="宋体" w:hAnsi="宋体" w:eastAsia="宋体" w:cs="Times New Roman"/>
                <w:sz w:val="24"/>
                <w:szCs w:val="20"/>
                <w:highlight w:val="none"/>
                <w:lang w:eastAsia="zh-CN"/>
              </w:rPr>
              <w:t>。</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5</w:t>
            </w:r>
            <w:r>
              <w:rPr>
                <w:rFonts w:hint="eastAsia" w:ascii="宋体" w:hAnsi="宋体" w:eastAsia="宋体" w:cs="Times New Roman"/>
                <w:sz w:val="24"/>
                <w:szCs w:val="20"/>
                <w:highlight w:val="none"/>
              </w:rPr>
              <w:t>）投标人需提供无重大违法记录承诺书；</w:t>
            </w:r>
            <w:r>
              <w:rPr>
                <w:rFonts w:hint="eastAsia" w:ascii="宋体" w:hAnsi="宋体" w:eastAsia="宋体" w:cs="Times New Roman"/>
                <w:sz w:val="24"/>
                <w:szCs w:val="24"/>
                <w:highlight w:val="none"/>
              </w:rPr>
              <w:t>（格式见附件1）</w:t>
            </w:r>
            <w:r>
              <w:rPr>
                <w:rFonts w:hint="eastAsia" w:ascii="宋体" w:hAnsi="宋体" w:eastAsia="宋体" w:cs="Times New Roman"/>
                <w:sz w:val="24"/>
                <w:szCs w:val="24"/>
                <w:highlight w:val="none"/>
                <w:lang w:eastAsia="zh-CN"/>
              </w:rPr>
              <w:t>。</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6</w:t>
            </w:r>
            <w:r>
              <w:rPr>
                <w:rFonts w:hint="eastAsia" w:ascii="宋体" w:hAnsi="宋体" w:eastAsia="宋体" w:cs="Times New Roman"/>
                <w:sz w:val="24"/>
                <w:szCs w:val="20"/>
                <w:highlight w:val="none"/>
              </w:rPr>
              <w:t>）</w:t>
            </w:r>
            <w:r>
              <w:rPr>
                <w:rFonts w:hint="eastAsia" w:ascii="宋体" w:hAnsi="宋体" w:eastAsia="宋体" w:cs="Times New Roman"/>
                <w:sz w:val="24"/>
                <w:szCs w:val="24"/>
                <w:highlight w:val="none"/>
              </w:rPr>
              <w:t>投标人需提供无行贿犯罪记录声明函；（格式见附件2）</w:t>
            </w:r>
            <w:r>
              <w:rPr>
                <w:rFonts w:hint="eastAsia" w:ascii="宋体" w:hAnsi="宋体" w:eastAsia="宋体" w:cs="Times New Roman"/>
                <w:sz w:val="24"/>
                <w:szCs w:val="24"/>
                <w:highlight w:val="none"/>
                <w:lang w:eastAsia="zh-CN"/>
              </w:rPr>
              <w:t>。</w:t>
            </w:r>
          </w:p>
          <w:p>
            <w:pPr>
              <w:kinsoku w:val="0"/>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7</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投标人认为需加以说明的其他内容。</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投标人提交的资格证明文件的原件或复印件上均需加盖投标人的公章。</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对于上述要求中未涵盖，但属投标设备必须符合的强制性认证标准、国家关于安全、卫生、环保、质量、能耗等有关规定的，必须提供相关资格证明文件，否则其投标将被拒绝。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7</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4</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证明货物和服务与招标文件的要求相一致的文件，可以是文字资料、图纸和数据，包括但不限于：</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lang w:val="en-US" w:eastAsia="zh-CN"/>
              </w:rPr>
              <w:t>1</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rPr>
              <w:t>货物主要技术指标和性能的详细说明</w:t>
            </w:r>
            <w:r>
              <w:rPr>
                <w:rFonts w:hint="eastAsia" w:ascii="宋体" w:hAnsi="宋体" w:eastAsia="宋体" w:cs="Times New Roman"/>
                <w:sz w:val="24"/>
                <w:szCs w:val="20"/>
                <w:highlight w:val="none"/>
                <w:lang w:eastAsia="zh-CN"/>
              </w:rPr>
              <w:t>。</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lang w:val="en-US" w:eastAsia="zh-CN"/>
              </w:rPr>
              <w:t>2</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rPr>
              <w:t>投标人对照招标文件技术规格，逐条说明所提供的货物和服务已对招标文件的技术规格做出了实质性的响应，并申明与技术规格条文的偏差和例外。特别对有具体参数要求的指标，投标人必须提供所投设备的具体参数值</w:t>
            </w:r>
            <w:r>
              <w:rPr>
                <w:rFonts w:hint="eastAsia" w:ascii="宋体" w:hAnsi="宋体" w:eastAsia="宋体" w:cs="Times New Roman"/>
                <w:sz w:val="24"/>
                <w:szCs w:val="20"/>
                <w:highlight w:val="none"/>
                <w:lang w:eastAsia="zh-CN"/>
              </w:rPr>
              <w:t>。</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lang w:val="en-US" w:eastAsia="zh-CN"/>
              </w:rPr>
              <w:t>3</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rPr>
              <w:t>投标人必须对重要技术参数提供技术支持资料（例如DATA SHEET、样本、产品说明书等制造商公开发布的印刷资料或第三方检测机构出具的检测报告或权威认证机构出具的认证证书等具有法律效力的文件），未提供的，评标时不予认可</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27" w:leftChars="13" w:right="57" w:firstLine="26" w:firstLineChars="11"/>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lang w:val="en-US" w:eastAsia="zh-CN"/>
              </w:rPr>
              <w:t>4</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rPr>
              <w:t>投标人的应标参数与制造商公开发布的印刷资料不一致时，以制造商公开发布的印刷资料为准。若制造商公开发布的印刷资料与第三方检测机构出具的检测报告或权威机构出具的认证证书不一致时，以第三方检测机构出具的检测报告或权威机构出具的认证证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8</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投标有效期：90天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9</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正本的份数：1份</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副本的份数：2份</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电子版的份数：1份（包含：1.全套投标文件正本（加盖公章）：PDF格式；2.技术偏离表：excel版本）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364" w:type="dxa"/>
            <w:gridSpan w:val="2"/>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开标与评标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10</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拟评审日期：202</w:t>
            </w:r>
            <w:r>
              <w:rPr>
                <w:rFonts w:hint="eastAsia" w:ascii="宋体" w:hAnsi="宋体" w:eastAsia="宋体" w:cs="Times New Roman"/>
                <w:sz w:val="24"/>
                <w:szCs w:val="20"/>
                <w:highlight w:val="none"/>
                <w:lang w:val="en-US" w:eastAsia="zh-CN"/>
              </w:rPr>
              <w:t>5</w:t>
            </w:r>
            <w:r>
              <w:rPr>
                <w:rFonts w:hint="eastAsia" w:ascii="宋体" w:hAnsi="宋体" w:eastAsia="宋体" w:cs="Times New Roman"/>
                <w:sz w:val="24"/>
                <w:szCs w:val="20"/>
                <w:highlight w:val="none"/>
              </w:rPr>
              <w:t>年</w:t>
            </w:r>
            <w:r>
              <w:rPr>
                <w:rFonts w:hint="eastAsia" w:ascii="宋体" w:hAnsi="宋体" w:eastAsia="宋体" w:cs="Times New Roman"/>
                <w:sz w:val="24"/>
                <w:szCs w:val="20"/>
                <w:highlight w:val="none"/>
                <w:lang w:val="en-US" w:eastAsia="zh-CN"/>
              </w:rPr>
              <w:t>9</w:t>
            </w:r>
            <w:r>
              <w:rPr>
                <w:rFonts w:hint="eastAsia" w:ascii="宋体" w:hAnsi="宋体" w:eastAsia="宋体" w:cs="Times New Roman"/>
                <w:sz w:val="24"/>
                <w:szCs w:val="20"/>
                <w:highlight w:val="none"/>
              </w:rPr>
              <w:t>月</w:t>
            </w:r>
            <w:r>
              <w:rPr>
                <w:rFonts w:hint="eastAsia" w:ascii="宋体" w:hAnsi="宋体" w:eastAsia="宋体" w:cs="Times New Roman"/>
                <w:sz w:val="24"/>
                <w:szCs w:val="20"/>
                <w:highlight w:val="none"/>
                <w:lang w:val="en-US" w:eastAsia="zh-CN"/>
              </w:rPr>
              <w:t>3</w:t>
            </w:r>
            <w:r>
              <w:rPr>
                <w:rFonts w:hint="eastAsia" w:ascii="宋体" w:hAnsi="宋体" w:eastAsia="宋体" w:cs="Times New Roman"/>
                <w:sz w:val="24"/>
                <w:szCs w:val="20"/>
                <w:highlight w:val="none"/>
              </w:rPr>
              <w:t>日</w:t>
            </w:r>
            <w:r>
              <w:rPr>
                <w:rFonts w:ascii="宋体" w:hAnsi="宋体" w:eastAsia="宋体" w:cs="Times New Roman"/>
                <w:sz w:val="24"/>
                <w:szCs w:val="20"/>
                <w:highlight w:val="none"/>
              </w:rPr>
              <w:t>北京时间</w:t>
            </w:r>
            <w:r>
              <w:rPr>
                <w:rFonts w:hint="eastAsia" w:ascii="宋体" w:hAnsi="宋体" w:eastAsia="宋体" w:cs="Times New Roman"/>
                <w:sz w:val="24"/>
                <w:szCs w:val="20"/>
                <w:highlight w:val="none"/>
                <w:lang w:val="en-US" w:eastAsia="zh-CN"/>
              </w:rPr>
              <w:t>13</w:t>
            </w:r>
            <w:r>
              <w:rPr>
                <w:rFonts w:hint="eastAsia" w:ascii="宋体" w:hAnsi="宋体" w:eastAsia="宋体" w:cs="Times New Roman"/>
                <w:sz w:val="24"/>
                <w:szCs w:val="20"/>
                <w:highlight w:val="none"/>
              </w:rPr>
              <w:t>：00</w:t>
            </w:r>
          </w:p>
          <w:p>
            <w:pPr>
              <w:spacing w:line="360" w:lineRule="auto"/>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rPr>
              <w:t>地点：</w:t>
            </w:r>
            <w:r>
              <w:rPr>
                <w:rFonts w:hint="eastAsia" w:ascii="宋体" w:hAnsi="宋体" w:eastAsia="宋体" w:cs="Times New Roman"/>
                <w:sz w:val="24"/>
                <w:szCs w:val="20"/>
                <w:highlight w:val="none"/>
                <w:lang w:val="en-US" w:eastAsia="zh-CN"/>
              </w:rPr>
              <w:t>待通知</w:t>
            </w:r>
          </w:p>
          <w:p>
            <w:pPr>
              <w:spacing w:line="360" w:lineRule="auto"/>
              <w:rPr>
                <w:rFonts w:hint="default" w:ascii="宋体" w:hAnsi="宋体" w:eastAsia="宋体" w:cs="Times New Roman"/>
                <w:sz w:val="24"/>
                <w:szCs w:val="20"/>
                <w:highlight w:val="none"/>
                <w:lang w:val="en-US"/>
              </w:rPr>
            </w:pPr>
            <w:r>
              <w:rPr>
                <w:rFonts w:hint="eastAsia" w:ascii="宋体" w:hAnsi="宋体" w:eastAsia="宋体" w:cs="Times New Roman"/>
                <w:sz w:val="24"/>
                <w:szCs w:val="20"/>
                <w:highlight w:val="none"/>
              </w:rPr>
              <w:t>地址：</w:t>
            </w:r>
            <w:r>
              <w:rPr>
                <w:rFonts w:hint="eastAsia" w:ascii="宋体" w:hAnsi="宋体" w:eastAsia="宋体" w:cs="Times New Roman"/>
                <w:sz w:val="24"/>
                <w:szCs w:val="20"/>
                <w:highlight w:val="none"/>
                <w:lang w:val="en-US" w:eastAsia="zh-CN"/>
              </w:rPr>
              <w:t>上海市嘉定区荣联路68号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10.2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14）医院通过“信用中国”网站（www.creditchina.gov.cn）</w:t>
            </w:r>
            <w:r>
              <w:rPr>
                <w:rFonts w:hint="eastAsia" w:ascii="宋体" w:hAnsi="宋体" w:eastAsia="宋体" w:cs="Times New Roman"/>
                <w:sz w:val="24"/>
                <w:szCs w:val="20"/>
                <w:highlight w:val="none"/>
                <w:lang w:val="en-US" w:eastAsia="zh-CN"/>
              </w:rPr>
              <w:t>以及</w:t>
            </w:r>
            <w:r>
              <w:rPr>
                <w:rFonts w:hint="eastAsia" w:ascii="宋体" w:hAnsi="宋体" w:eastAsia="宋体" w:cs="Times New Roman"/>
                <w:sz w:val="24"/>
                <w:szCs w:val="20"/>
                <w:highlight w:val="none"/>
              </w:rPr>
              <w:t>中国政府采购网（www.ccgp.gov.cn）查询投标人的信用记录，查询时间不早于本项目公告发布之日。对列入失信执行人、重大税收违法案件当事人名单、政府采购严重违法失信行为记录名单的投标人，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10.3</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投标人的投标文件中未加注“★”号的一般技术参数的偏离超过5项（包括5项），其投标将被否决。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评标货币：人民币。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本招标文件所涵盖的货物必须按</w:t>
            </w:r>
            <w:r>
              <w:rPr>
                <w:rFonts w:hint="eastAsia" w:ascii="宋体" w:hAnsi="宋体" w:eastAsia="宋体" w:cs="Times New Roman"/>
                <w:sz w:val="24"/>
                <w:szCs w:val="20"/>
                <w:highlight w:val="none"/>
                <w:lang w:eastAsia="zh-CN"/>
              </w:rPr>
              <w:t>第四章</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货物需求一览表及技术规格</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中规定的合同交货期交货。对提前交货者不考虑降低评标价。对提交“推迟交货计划”的投标可以接受，但每延期一周其评标价将在投标总价的基础上增加</w:t>
            </w:r>
            <w:r>
              <w:rPr>
                <w:rFonts w:ascii="宋体" w:hAnsi="宋体" w:eastAsia="宋体" w:cs="Times New Roman"/>
                <w:sz w:val="24"/>
                <w:szCs w:val="20"/>
                <w:highlight w:val="none"/>
              </w:rPr>
              <w:t>0.</w:t>
            </w:r>
            <w:r>
              <w:rPr>
                <w:rFonts w:hint="eastAsia" w:ascii="宋体" w:hAnsi="宋体" w:eastAsia="宋体" w:cs="Times New Roman"/>
                <w:sz w:val="24"/>
                <w:szCs w:val="20"/>
                <w:highlight w:val="none"/>
              </w:rPr>
              <w:t>5</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。迟于规定交货计划超过1个月交货的投标将被否决。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3</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预计运行和维护费用：不适用。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4</w:t>
            </w:r>
          </w:p>
        </w:tc>
        <w:tc>
          <w:tcPr>
            <w:tcW w:w="8366" w:type="dxa"/>
            <w:vAlign w:val="center"/>
          </w:tcPr>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（1）招标文件中加注“★”号的为重要条款（参数），对任一重要条款（参数）的偏离，其投标将被否决</w:t>
            </w:r>
            <w:r>
              <w:rPr>
                <w:rFonts w:hint="eastAsia" w:ascii="宋体" w:hAnsi="宋体" w:eastAsia="宋体" w:cs="Times New Roman"/>
                <w:sz w:val="24"/>
                <w:szCs w:val="20"/>
                <w:highlight w:val="none"/>
                <w:lang w:eastAsia="zh-CN"/>
              </w:rPr>
              <w:t>。</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（2）招标文件中未加注“★”号的为一般条款（参数），高于标准的，不考虑降低评标价，低于标准的，评标价将增加该设备投标价格的百分之壹（1</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）（特别注明的除外）；若投标文件中没有单独列出该设备分项报价的，评标价格调整时按投标总价计算。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364" w:type="dxa"/>
            <w:gridSpan w:val="2"/>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授予合同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lang w:val="en-US" w:eastAsia="zh-CN"/>
              </w:rPr>
              <w:t>12</w:t>
            </w:r>
          </w:p>
        </w:tc>
        <w:tc>
          <w:tcPr>
            <w:tcW w:w="8366" w:type="dxa"/>
            <w:vAlign w:val="center"/>
          </w:tcPr>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中标人的确定：</w:t>
            </w:r>
            <w:r>
              <w:rPr>
                <w:rFonts w:hint="eastAsia" w:ascii="宋体" w:hAnsi="宋体" w:eastAsia="宋体" w:cs="Times New Roman"/>
                <w:sz w:val="24"/>
                <w:szCs w:val="20"/>
                <w:highlight w:val="none"/>
                <w:lang w:val="en-US" w:eastAsia="zh-CN"/>
              </w:rPr>
              <w:t>均价最低</w:t>
            </w:r>
            <w:r>
              <w:rPr>
                <w:rFonts w:hint="eastAsia" w:ascii="宋体" w:hAnsi="宋体" w:eastAsia="宋体" w:cs="Times New Roman"/>
                <w:sz w:val="24"/>
                <w:szCs w:val="20"/>
                <w:highlight w:val="none"/>
              </w:rPr>
              <w:t>的</w:t>
            </w:r>
            <w:r>
              <w:rPr>
                <w:rFonts w:hint="eastAsia" w:ascii="宋体" w:hAnsi="宋体" w:eastAsia="宋体" w:cs="Times New Roman"/>
                <w:sz w:val="24"/>
                <w:szCs w:val="20"/>
                <w:highlight w:val="none"/>
                <w:lang w:val="en-US" w:eastAsia="zh-CN"/>
              </w:rPr>
              <w:t>投标</w:t>
            </w:r>
            <w:r>
              <w:rPr>
                <w:rFonts w:hint="eastAsia" w:ascii="宋体" w:hAnsi="宋体" w:eastAsia="宋体" w:cs="Times New Roman"/>
                <w:sz w:val="24"/>
                <w:szCs w:val="20"/>
                <w:highlight w:val="none"/>
              </w:rPr>
              <w:t>人为中标人。</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lang w:val="en-US" w:eastAsia="zh-CN"/>
              </w:rPr>
              <w:t>投标货物总价÷货物个数=均价</w:t>
            </w:r>
            <w:r>
              <w:rPr>
                <w:rFonts w:hint="eastAsia" w:ascii="宋体" w:hAnsi="宋体" w:eastAsia="宋体" w:cs="Times New Roman"/>
                <w:sz w:val="24"/>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★增1</w:t>
            </w:r>
          </w:p>
        </w:tc>
        <w:tc>
          <w:tcPr>
            <w:tcW w:w="8366" w:type="dxa"/>
            <w:vAlign w:val="center"/>
          </w:tcPr>
          <w:p>
            <w:pPr>
              <w:spacing w:line="360" w:lineRule="auto"/>
              <w:rPr>
                <w:rFonts w:ascii="宋体" w:hAnsi="宋体" w:eastAsia="宋体" w:cs="Times New Roman"/>
                <w:sz w:val="24"/>
                <w:szCs w:val="24"/>
                <w:highlight w:val="none"/>
              </w:rPr>
            </w:pPr>
            <w:r>
              <w:rPr>
                <w:rFonts w:hint="eastAsia" w:ascii="宋体" w:hAnsi="宋体" w:eastAsia="宋体" w:cs="Times New Roman"/>
                <w:sz w:val="24"/>
                <w:szCs w:val="24"/>
                <w:highlight w:val="none"/>
              </w:rPr>
              <w:t>关于原产于特定国家（地区）特定进口商品加征关税的规定</w:t>
            </w:r>
          </w:p>
          <w:p>
            <w:pPr>
              <w:spacing w:line="360" w:lineRule="auto"/>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（1）投标产品为原产于特定国家（地区）的特定商品被中国政府实施加征关税等措施且加征关税在实际进口时未被核准市场化采购排除的，加征的关税以及由此增加的增值税等额外税费由中标人承担</w:t>
            </w:r>
            <w:r>
              <w:rPr>
                <w:rFonts w:hint="eastAsia" w:ascii="宋体" w:hAnsi="宋体" w:eastAsia="宋体" w:cs="Times New Roman"/>
                <w:sz w:val="24"/>
                <w:szCs w:val="24"/>
                <w:highlight w:val="none"/>
                <w:lang w:eastAsia="zh-CN"/>
              </w:rPr>
              <w:t>。</w:t>
            </w:r>
          </w:p>
          <w:p>
            <w:pPr>
              <w:spacing w:line="360" w:lineRule="auto"/>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（2）投标人需在投标时出具承担加征关税以及由此增加的增值税等额外税费的承诺书</w:t>
            </w:r>
            <w:r>
              <w:rPr>
                <w:rFonts w:hint="eastAsia" w:ascii="宋体" w:hAnsi="宋体" w:eastAsia="宋体" w:cs="Times New Roman"/>
                <w:sz w:val="24"/>
                <w:szCs w:val="24"/>
                <w:highlight w:val="none"/>
                <w:lang w:eastAsia="zh-CN"/>
              </w:rPr>
              <w:t>。</w:t>
            </w:r>
          </w:p>
          <w:p>
            <w:pPr>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（3）额外税费可以由中标人另行支付给招标人，或者在支付合同验收尾款时直接予以扣减。中标人若以外币支付税费，按海关《专用缴款书》上载明的汇率进行换算。</w:t>
            </w:r>
          </w:p>
        </w:tc>
      </w:tr>
    </w:tbl>
    <w:p>
      <w:pPr>
        <w:keepNext/>
        <w:keepLines/>
        <w:pageBreakBefore/>
        <w:autoSpaceDE w:val="0"/>
        <w:autoSpaceDN w:val="0"/>
        <w:spacing w:before="260" w:after="260" w:line="360" w:lineRule="auto"/>
        <w:ind w:left="1919" w:leftChars="914" w:firstLine="1080" w:firstLineChars="300"/>
        <w:outlineLvl w:val="2"/>
        <w:rPr>
          <w:rFonts w:ascii="宋体" w:hAnsi="宋体" w:eastAsia="宋体" w:cs="Times New Roman"/>
          <w:b/>
          <w:sz w:val="36"/>
          <w:szCs w:val="20"/>
        </w:rPr>
      </w:pPr>
      <w:bookmarkStart w:id="11" w:name="_Toc9066360"/>
      <w:bookmarkStart w:id="12" w:name="_Toc11326094"/>
      <w:r>
        <w:rPr>
          <w:rFonts w:hint="eastAsia" w:ascii="宋体" w:hAnsi="宋体" w:eastAsia="宋体" w:cs="Times New Roman"/>
          <w:b/>
          <w:sz w:val="36"/>
          <w:szCs w:val="20"/>
        </w:rPr>
        <w:t>第三章 合同专用条款</w:t>
      </w:r>
      <w:bookmarkEnd w:id="11"/>
      <w:bookmarkEnd w:id="12"/>
    </w:p>
    <w:tbl>
      <w:tblPr>
        <w:tblStyle w:val="32"/>
        <w:tblW w:w="9357"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 w:hRule="atLeast"/>
        </w:trPr>
        <w:tc>
          <w:tcPr>
            <w:tcW w:w="773"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条款号</w:t>
            </w:r>
          </w:p>
        </w:tc>
        <w:tc>
          <w:tcPr>
            <w:tcW w:w="8584"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1" w:hRule="atLeast"/>
        </w:trPr>
        <w:tc>
          <w:tcPr>
            <w:tcW w:w="773" w:type="dxa"/>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 xml:space="preserve">1.1 </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买方名称：上海市中医医院</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买方地址：上海市</w:t>
            </w:r>
            <w:r>
              <w:rPr>
                <w:rFonts w:hint="eastAsia" w:ascii="宋体" w:hAnsi="宋体" w:eastAsia="宋体" w:cs="Times New Roman"/>
                <w:sz w:val="24"/>
                <w:szCs w:val="24"/>
                <w:lang w:val="en-US" w:eastAsia="zh-CN"/>
              </w:rPr>
              <w:t>嘉定区荣联路68</w:t>
            </w:r>
            <w:r>
              <w:rPr>
                <w:rFonts w:hint="eastAsia" w:ascii="宋体" w:hAnsi="宋体" w:eastAsia="宋体" w:cs="Times New Roman"/>
                <w:sz w:val="24"/>
                <w:szCs w:val="20"/>
              </w:rPr>
              <w:t>号</w:t>
            </w:r>
          </w:p>
          <w:p>
            <w:pPr>
              <w:spacing w:line="360" w:lineRule="auto"/>
              <w:rPr>
                <w:rFonts w:hint="default" w:ascii="宋体" w:hAnsi="宋体" w:eastAsia="宋体" w:cs="Times New Roman"/>
                <w:sz w:val="24"/>
                <w:szCs w:val="20"/>
                <w:lang w:val="en-US" w:eastAsia="zh-CN"/>
              </w:rPr>
            </w:pPr>
            <w:r>
              <w:rPr>
                <w:rFonts w:hint="eastAsia" w:ascii="宋体" w:hAnsi="宋体" w:eastAsia="宋体" w:cs="Times New Roman"/>
                <w:sz w:val="24"/>
                <w:szCs w:val="20"/>
              </w:rPr>
              <w:t>邮编：</w:t>
            </w:r>
            <w:r>
              <w:rPr>
                <w:rFonts w:hint="eastAsia" w:ascii="宋体" w:hAnsi="宋体" w:eastAsia="宋体" w:cs="Times New Roman"/>
                <w:sz w:val="24"/>
                <w:szCs w:val="20"/>
                <w:lang w:eastAsia="zh-CN"/>
              </w:rPr>
              <w:t>20</w:t>
            </w:r>
            <w:r>
              <w:rPr>
                <w:rFonts w:hint="eastAsia" w:ascii="宋体" w:hAnsi="宋体" w:eastAsia="宋体" w:cs="Times New Roman"/>
                <w:sz w:val="24"/>
                <w:szCs w:val="20"/>
                <w:lang w:val="en-US" w:eastAsia="zh-CN"/>
              </w:rPr>
              <w:t>1822</w:t>
            </w:r>
          </w:p>
          <w:p>
            <w:pPr>
              <w:spacing w:line="360" w:lineRule="auto"/>
              <w:rPr>
                <w:rFonts w:ascii="宋体" w:hAnsi="宋体" w:eastAsia="宋体" w:cs="Times New Roman"/>
                <w:sz w:val="24"/>
                <w:szCs w:val="20"/>
              </w:rPr>
            </w:pPr>
            <w:r>
              <w:rPr>
                <w:rFonts w:hint="eastAsia" w:ascii="宋体" w:hAnsi="宋体" w:eastAsia="宋体" w:cs="Times New Roman"/>
                <w:sz w:val="24"/>
                <w:szCs w:val="20"/>
              </w:rPr>
              <w:t>电话：021-</w:t>
            </w:r>
            <w:r>
              <w:rPr>
                <w:rFonts w:ascii="宋体" w:hAnsi="宋体" w:eastAsia="宋体" w:cs="Times New Roman"/>
                <w:sz w:val="24"/>
                <w:szCs w:val="20"/>
              </w:rPr>
              <w:t>56639828-</w:t>
            </w:r>
            <w:r>
              <w:rPr>
                <w:rFonts w:hint="eastAsia" w:ascii="宋体" w:hAnsi="宋体" w:eastAsia="宋体" w:cs="Times New Roman"/>
                <w:sz w:val="24"/>
                <w:szCs w:val="20"/>
                <w:lang w:val="en-US" w:eastAsia="zh-CN"/>
              </w:rPr>
              <w:t>52</w:t>
            </w:r>
            <w:r>
              <w:rPr>
                <w:rFonts w:hint="eastAsia" w:ascii="宋体" w:hAnsi="宋体" w:eastAsia="宋体" w:cs="Times New Roman"/>
                <w:sz w:val="24"/>
                <w:szCs w:val="20"/>
              </w:rPr>
              <w:t>237</w:t>
            </w:r>
          </w:p>
          <w:p>
            <w:pPr>
              <w:spacing w:line="360" w:lineRule="auto"/>
              <w:rPr>
                <w:rFonts w:hint="eastAsia" w:ascii="宋体" w:hAnsi="宋体" w:eastAsia="宋体" w:cs="Times New Roman"/>
                <w:sz w:val="24"/>
                <w:szCs w:val="20"/>
                <w:lang w:eastAsia="zh-CN"/>
              </w:rPr>
            </w:pPr>
            <w:r>
              <w:rPr>
                <w:rFonts w:hint="eastAsia" w:ascii="宋体" w:hAnsi="宋体" w:eastAsia="宋体" w:cs="Times New Roman"/>
                <w:sz w:val="24"/>
                <w:szCs w:val="20"/>
              </w:rPr>
              <w:t>联系人</w:t>
            </w: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陆海玲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 w:hRule="atLeast"/>
        </w:trPr>
        <w:tc>
          <w:tcPr>
            <w:tcW w:w="773" w:type="dxa"/>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1.</w:t>
            </w:r>
            <w:r>
              <w:rPr>
                <w:rFonts w:ascii="宋体" w:hAnsi="宋体" w:eastAsia="宋体" w:cs="Times New Roman"/>
                <w:sz w:val="24"/>
                <w:szCs w:val="20"/>
              </w:rPr>
              <w:t>2</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项目现场：上海市中医医院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73" w:type="dxa"/>
          </w:tcPr>
          <w:p>
            <w:pPr>
              <w:autoSpaceDE w:val="0"/>
              <w:autoSpaceDN w:val="0"/>
              <w:spacing w:line="360" w:lineRule="auto"/>
              <w:ind w:hanging="78"/>
              <w:jc w:val="center"/>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1.3</w:t>
            </w:r>
          </w:p>
        </w:tc>
        <w:tc>
          <w:tcPr>
            <w:tcW w:w="8584" w:type="dxa"/>
            <w:vAlign w:val="center"/>
          </w:tcPr>
          <w:p>
            <w:pPr>
              <w:autoSpaceDE w:val="0"/>
              <w:autoSpaceDN w:val="0"/>
              <w:spacing w:line="360" w:lineRule="auto"/>
              <w:ind w:right="57"/>
              <w:rPr>
                <w:rFonts w:ascii="宋体" w:hAnsi="宋体" w:eastAsia="宋体" w:cs="Times New Roman"/>
                <w:sz w:val="24"/>
                <w:szCs w:val="20"/>
                <w:shd w:val="pct10" w:color="auto" w:fill="FFFFFF"/>
              </w:rPr>
            </w:pPr>
            <w:r>
              <w:rPr>
                <w:rFonts w:hint="eastAsia" w:ascii="宋体" w:hAnsi="宋体" w:eastAsia="宋体" w:cs="Times New Roman"/>
                <w:sz w:val="24"/>
                <w:szCs w:val="20"/>
              </w:rPr>
              <w:t>履约保证金：不适用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73" w:type="dxa"/>
          </w:tcPr>
          <w:p>
            <w:pPr>
              <w:spacing w:line="360" w:lineRule="auto"/>
              <w:jc w:val="center"/>
              <w:rPr>
                <w:rFonts w:hint="eastAsia" w:ascii="宋体" w:hAnsi="宋体" w:eastAsia="宋体" w:cs="Times New Roman"/>
                <w:sz w:val="24"/>
                <w:szCs w:val="20"/>
                <w:lang w:eastAsia="zh-CN"/>
              </w:rPr>
            </w:pPr>
            <w:r>
              <w:rPr>
                <w:rFonts w:ascii="宋体" w:hAnsi="宋体" w:eastAsia="宋体" w:cs="Times New Roman"/>
                <w:sz w:val="24"/>
                <w:szCs w:val="20"/>
              </w:rPr>
              <w:t>1.</w:t>
            </w:r>
            <w:r>
              <w:rPr>
                <w:rFonts w:hint="eastAsia" w:ascii="宋体" w:hAnsi="宋体" w:eastAsia="宋体" w:cs="Times New Roman"/>
                <w:sz w:val="24"/>
                <w:szCs w:val="20"/>
                <w:lang w:val="en-US" w:eastAsia="zh-CN"/>
              </w:rPr>
              <w:t>4</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卖方应按产品出厂标准供应的货物质保期内运行。若对备件有具体要求，详见第</w:t>
            </w:r>
            <w:r>
              <w:rPr>
                <w:rFonts w:hint="eastAsia" w:ascii="宋体" w:hAnsi="宋体" w:eastAsia="宋体" w:cs="Times New Roman"/>
                <w:sz w:val="24"/>
                <w:szCs w:val="20"/>
                <w:lang w:val="en-US" w:eastAsia="zh-CN"/>
              </w:rPr>
              <w:t>四</w:t>
            </w:r>
            <w:r>
              <w:rPr>
                <w:rFonts w:hint="eastAsia" w:ascii="宋体" w:hAnsi="宋体" w:eastAsia="宋体" w:cs="Times New Roman"/>
                <w:sz w:val="24"/>
                <w:szCs w:val="20"/>
              </w:rPr>
              <w:t>章</w:t>
            </w:r>
            <w:r>
              <w:rPr>
                <w:rFonts w:ascii="宋体" w:hAnsi="宋体" w:eastAsia="宋体" w:cs="Times New Roman"/>
                <w:sz w:val="24"/>
                <w:szCs w:val="20"/>
              </w:rPr>
              <w:t>“</w:t>
            </w:r>
            <w:r>
              <w:rPr>
                <w:rFonts w:hint="eastAsia" w:ascii="宋体" w:hAnsi="宋体" w:eastAsia="宋体" w:cs="Times New Roman"/>
                <w:sz w:val="24"/>
                <w:szCs w:val="20"/>
              </w:rPr>
              <w:t>货物需求一览表及技术规格</w:t>
            </w:r>
            <w:r>
              <w:rPr>
                <w:rFonts w:ascii="宋体" w:hAnsi="宋体" w:eastAsia="宋体" w:cs="Times New Roman"/>
                <w:sz w:val="24"/>
                <w:szCs w:val="20"/>
              </w:rPr>
              <w:t>”</w:t>
            </w:r>
            <w:r>
              <w:rPr>
                <w:rFonts w:hint="eastAsia" w:ascii="宋体" w:hAnsi="宋体" w:eastAsia="宋体" w:cs="Times New Roman"/>
                <w:sz w:val="24"/>
                <w:szCs w:val="20"/>
              </w:rPr>
              <w:t>的相关条款。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2</w:t>
            </w:r>
            <w:r>
              <w:rPr>
                <w:rFonts w:hint="eastAsia" w:ascii="宋体" w:hAnsi="宋体" w:eastAsia="宋体" w:cs="Times New Roman"/>
                <w:sz w:val="24"/>
                <w:szCs w:val="20"/>
              </w:rPr>
              <w:t>.1</w:t>
            </w:r>
          </w:p>
        </w:tc>
        <w:tc>
          <w:tcPr>
            <w:tcW w:w="8584" w:type="dxa"/>
            <w:vAlign w:val="center"/>
          </w:tcPr>
          <w:p>
            <w:pPr>
              <w:spacing w:line="360" w:lineRule="auto"/>
              <w:ind w:left="-2" w:leftChars="-1" w:right="57" w:firstLine="48" w:firstLineChars="20"/>
              <w:rPr>
                <w:rFonts w:ascii="宋体" w:hAnsi="宋体" w:eastAsia="宋体" w:cs="Times New Roman"/>
                <w:sz w:val="24"/>
                <w:szCs w:val="20"/>
              </w:rPr>
            </w:pPr>
            <w:r>
              <w:rPr>
                <w:rFonts w:hint="eastAsia" w:ascii="宋体" w:hAnsi="宋体" w:eastAsia="宋体" w:cs="Times New Roman"/>
                <w:sz w:val="24"/>
                <w:szCs w:val="20"/>
              </w:rPr>
              <w:t>（1）</w:t>
            </w: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90天</w:t>
            </w:r>
            <w:r>
              <w:rPr>
                <w:rFonts w:hint="eastAsia" w:ascii="宋体" w:hAnsi="宋体" w:eastAsia="宋体" w:cs="宋体"/>
                <w:b w:val="0"/>
                <w:bCs w:val="0"/>
                <w:sz w:val="24"/>
                <w:szCs w:val="24"/>
              </w:rPr>
              <w:t>内买方支付货款的100%</w:t>
            </w:r>
            <w:r>
              <w:rPr>
                <w:rFonts w:hint="eastAsia" w:ascii="宋体" w:hAnsi="宋体" w:eastAsia="宋体" w:cs="Times New Roman"/>
                <w:sz w:val="24"/>
                <w:szCs w:val="20"/>
              </w:rPr>
              <w:t>；</w:t>
            </w:r>
          </w:p>
          <w:p>
            <w:pPr>
              <w:spacing w:line="360" w:lineRule="auto"/>
              <w:rPr>
                <w:rFonts w:ascii="宋体" w:hAnsi="宋体" w:eastAsia="宋体" w:cs="Times New Roman"/>
                <w:sz w:val="24"/>
                <w:szCs w:val="20"/>
              </w:rPr>
            </w:pPr>
            <w:r>
              <w:rPr>
                <w:rFonts w:hint="eastAsia" w:ascii="宋体" w:hAnsi="宋体" w:eastAsia="宋体" w:cs="Times New Roman"/>
                <w:sz w:val="24"/>
                <w:szCs w:val="20"/>
              </w:rPr>
              <w:t>（2）买方支付货款前，卖方须向买方开具数额相等的发票，买方据此付款；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773" w:type="dxa"/>
            <w:vAlign w:val="center"/>
          </w:tcPr>
          <w:p>
            <w:pPr>
              <w:spacing w:line="360" w:lineRule="auto"/>
              <w:jc w:val="center"/>
              <w:rPr>
                <w:rFonts w:hint="eastAsia" w:ascii="宋体" w:hAnsi="宋体" w:eastAsia="宋体" w:cs="Times New Roman"/>
                <w:sz w:val="24"/>
                <w:szCs w:val="20"/>
                <w:lang w:eastAsia="zh-CN"/>
              </w:rPr>
            </w:pPr>
            <w:r>
              <w:rPr>
                <w:rFonts w:hint="eastAsia" w:ascii="宋体" w:hAnsi="宋体" w:eastAsia="宋体" w:cs="Times New Roman"/>
                <w:sz w:val="24"/>
                <w:szCs w:val="20"/>
              </w:rPr>
              <w:t>2</w:t>
            </w:r>
            <w:r>
              <w:rPr>
                <w:rFonts w:ascii="宋体" w:hAnsi="宋体" w:eastAsia="宋体" w:cs="Times New Roman"/>
                <w:sz w:val="24"/>
                <w:szCs w:val="20"/>
              </w:rPr>
              <w:t>.</w:t>
            </w:r>
            <w:r>
              <w:rPr>
                <w:rFonts w:hint="eastAsia" w:ascii="宋体" w:hAnsi="宋体" w:eastAsia="宋体" w:cs="Times New Roman"/>
                <w:sz w:val="24"/>
                <w:szCs w:val="20"/>
                <w:lang w:val="en-US" w:eastAsia="zh-CN"/>
              </w:rPr>
              <w:t>2</w:t>
            </w:r>
          </w:p>
        </w:tc>
        <w:tc>
          <w:tcPr>
            <w:tcW w:w="8584" w:type="dxa"/>
            <w:vAlign w:val="center"/>
          </w:tcPr>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根据“关于本市贯彻卫生部《关于建立医药购销领域商业贿赂不良记录的规定》的实施意见（沪卫监察〔2007〕1号）”第八条的规定：本市医疗卫生机构在与药械生产、经营企业或代理人签署药械等采购（招标采购）合同时，应在合同中列明有关企业承诺不从事商业贿赂行为的条款及一旦被列入商业贿赂不良记录后购销合同将解除并承担违约责任的条款。买方在查明卖方有商业贿赂的情况下，买方有权解除合同，卖方应该将全额货款偿还给买方并承担因合同解除而造成对买方的一切直接损失与费用，并且卖方还应该向买方支付合同金额20%的补偿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773" w:type="dxa"/>
          </w:tcPr>
          <w:p>
            <w:pPr>
              <w:spacing w:line="360" w:lineRule="auto"/>
              <w:jc w:val="center"/>
              <w:rPr>
                <w:rFonts w:hint="eastAsia" w:ascii="宋体" w:hAnsi="宋体" w:eastAsia="宋体" w:cs="Times New Roman"/>
                <w:sz w:val="24"/>
                <w:szCs w:val="20"/>
                <w:lang w:eastAsia="zh-CN"/>
              </w:rPr>
            </w:pPr>
            <w:r>
              <w:rPr>
                <w:rFonts w:ascii="宋体" w:hAnsi="宋体" w:eastAsia="宋体" w:cs="Times New Roman"/>
                <w:sz w:val="24"/>
                <w:szCs w:val="20"/>
              </w:rPr>
              <w:t>2.</w:t>
            </w:r>
            <w:r>
              <w:rPr>
                <w:rFonts w:hint="eastAsia" w:ascii="宋体" w:hAnsi="宋体" w:eastAsia="宋体" w:cs="Times New Roman"/>
                <w:sz w:val="24"/>
                <w:szCs w:val="20"/>
                <w:lang w:val="en-US" w:eastAsia="zh-CN"/>
              </w:rPr>
              <w:t>3</w:t>
            </w:r>
          </w:p>
        </w:tc>
        <w:tc>
          <w:tcPr>
            <w:tcW w:w="8584" w:type="dxa"/>
            <w:vAlign w:val="center"/>
          </w:tcPr>
          <w:p>
            <w:pPr>
              <w:autoSpaceDE w:val="0"/>
              <w:autoSpaceDN w:val="0"/>
              <w:spacing w:line="360" w:lineRule="auto"/>
              <w:ind w:left="102" w:right="57" w:hanging="56"/>
              <w:rPr>
                <w:rFonts w:ascii="宋体" w:hAnsi="宋体" w:eastAsia="宋体" w:cs="Times New Roman"/>
                <w:sz w:val="24"/>
                <w:szCs w:val="20"/>
              </w:rPr>
            </w:pPr>
            <w:r>
              <w:rPr>
                <w:rFonts w:hint="eastAsia" w:ascii="宋体" w:hAnsi="宋体" w:eastAsia="宋体" w:cs="Times New Roman"/>
                <w:sz w:val="24"/>
                <w:szCs w:val="20"/>
              </w:rPr>
              <w:t>仲裁应由中国国际经济贸易仲裁委员会（CIETAC）上海分会按其仲裁规则和程序在上海进行。仲裁的官方语言应为中文。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773" w:type="dxa"/>
          </w:tcPr>
          <w:p>
            <w:pPr>
              <w:spacing w:line="360" w:lineRule="auto"/>
              <w:jc w:val="center"/>
              <w:rPr>
                <w:rFonts w:hint="eastAsia" w:ascii="宋体" w:hAnsi="宋体" w:eastAsia="宋体" w:cs="Times New Roman"/>
                <w:sz w:val="24"/>
                <w:szCs w:val="20"/>
                <w:lang w:eastAsia="zh-CN"/>
              </w:rPr>
            </w:pPr>
            <w:r>
              <w:rPr>
                <w:rFonts w:ascii="宋体" w:hAnsi="宋体" w:eastAsia="宋体" w:cs="Times New Roman"/>
                <w:sz w:val="24"/>
                <w:szCs w:val="20"/>
              </w:rPr>
              <w:t>2.</w:t>
            </w:r>
            <w:r>
              <w:rPr>
                <w:rFonts w:hint="eastAsia" w:ascii="宋体" w:hAnsi="宋体" w:eastAsia="宋体" w:cs="Times New Roman"/>
                <w:sz w:val="24"/>
                <w:szCs w:val="20"/>
                <w:lang w:val="en-US" w:eastAsia="zh-CN"/>
              </w:rPr>
              <w:t>4</w:t>
            </w:r>
          </w:p>
        </w:tc>
        <w:tc>
          <w:tcPr>
            <w:tcW w:w="8584" w:type="dxa"/>
            <w:vAlign w:val="center"/>
          </w:tcPr>
          <w:p>
            <w:pPr>
              <w:autoSpaceDE w:val="0"/>
              <w:autoSpaceDN w:val="0"/>
              <w:spacing w:line="360" w:lineRule="auto"/>
              <w:ind w:left="40" w:right="57"/>
              <w:rPr>
                <w:rFonts w:ascii="宋体" w:hAnsi="宋体" w:eastAsia="宋体" w:cs="Times New Roman"/>
                <w:sz w:val="24"/>
                <w:szCs w:val="20"/>
              </w:rPr>
            </w:pPr>
            <w:r>
              <w:rPr>
                <w:rFonts w:hint="eastAsia" w:ascii="宋体" w:hAnsi="宋体" w:eastAsia="宋体" w:cs="Times New Roman"/>
                <w:sz w:val="24"/>
                <w:szCs w:val="20"/>
              </w:rPr>
              <w:t>互惠协议的标题是“中华人民共和国和</w:t>
            </w:r>
            <w:r>
              <w:rPr>
                <w:rFonts w:hint="eastAsia" w:ascii="宋体" w:hAnsi="宋体" w:eastAsia="宋体" w:cs="Times New Roman"/>
                <w:sz w:val="24"/>
                <w:szCs w:val="20"/>
                <w:u w:val="single"/>
              </w:rPr>
              <w:t xml:space="preserve">               </w:t>
            </w:r>
            <w:r>
              <w:rPr>
                <w:rFonts w:hint="eastAsia" w:ascii="宋体" w:hAnsi="宋体" w:eastAsia="宋体" w:cs="Times New Roman"/>
                <w:sz w:val="24"/>
                <w:szCs w:val="20"/>
              </w:rPr>
              <w:t>政府关于所得税和财产税避免双重征税和防止偷漏税的协定”。</w:t>
            </w:r>
          </w:p>
        </w:tc>
      </w:tr>
    </w:tbl>
    <w:p>
      <w:pPr>
        <w:autoSpaceDE w:val="0"/>
        <w:autoSpaceDN w:val="0"/>
        <w:spacing w:line="360" w:lineRule="auto"/>
        <w:ind w:left="105"/>
        <w:rPr>
          <w:rFonts w:ascii="宋体" w:hAnsi="宋体" w:eastAsia="宋体" w:cs="Times New Roman"/>
          <w:sz w:val="24"/>
          <w:szCs w:val="20"/>
        </w:rPr>
      </w:pPr>
      <w:r>
        <w:rPr>
          <w:rFonts w:hint="eastAsia" w:ascii="宋体" w:hAnsi="宋体" w:eastAsia="宋体" w:cs="Times New Roman"/>
          <w:sz w:val="24"/>
          <w:szCs w:val="20"/>
        </w:rPr>
        <w:t>注：卖方的名称和地址应在签合同时填入。</w:t>
      </w:r>
    </w:p>
    <w:p>
      <w:pPr>
        <w:keepNext/>
        <w:keepLines/>
        <w:autoSpaceDE w:val="0"/>
        <w:autoSpaceDN w:val="0"/>
        <w:spacing w:before="260" w:after="260" w:line="360" w:lineRule="auto"/>
        <w:outlineLvl w:val="2"/>
        <w:rPr>
          <w:rFonts w:ascii="宋体" w:hAnsi="宋体" w:eastAsia="宋体" w:cs="Times New Roman"/>
          <w:b/>
          <w:sz w:val="36"/>
          <w:szCs w:val="20"/>
        </w:rPr>
        <w:sectPr>
          <w:headerReference r:id="rId13" w:type="first"/>
          <w:footerReference r:id="rId15" w:type="first"/>
          <w:footerReference r:id="rId14" w:type="default"/>
          <w:headerReference r:id="rId12" w:type="even"/>
          <w:pgSz w:w="11906" w:h="16838"/>
          <w:pgMar w:top="1418" w:right="1134" w:bottom="1418" w:left="1418" w:header="567" w:footer="567" w:gutter="0"/>
          <w:pgBorders>
            <w:top w:val="none" w:sz="0" w:space="0"/>
            <w:left w:val="none" w:sz="0" w:space="0"/>
            <w:bottom w:val="none" w:sz="0" w:space="0"/>
            <w:right w:val="none" w:sz="0" w:space="0"/>
          </w:pgBorders>
          <w:cols w:space="425" w:num="1"/>
          <w:docGrid w:type="linesAndChars" w:linePitch="312" w:charSpace="0"/>
        </w:sectPr>
      </w:pPr>
    </w:p>
    <w:p>
      <w:pPr>
        <w:keepNext/>
        <w:keepLines/>
        <w:numPr>
          <w:ilvl w:val="0"/>
          <w:numId w:val="3"/>
        </w:numPr>
        <w:autoSpaceDE w:val="0"/>
        <w:autoSpaceDN w:val="0"/>
        <w:spacing w:line="360" w:lineRule="auto"/>
        <w:ind w:right="73"/>
        <w:jc w:val="center"/>
        <w:outlineLvl w:val="2"/>
        <w:rPr>
          <w:rFonts w:ascii="宋体" w:hAnsi="宋体" w:eastAsia="宋体" w:cs="Times New Roman"/>
          <w:b/>
          <w:sz w:val="36"/>
          <w:szCs w:val="20"/>
          <w:highlight w:val="none"/>
        </w:rPr>
      </w:pPr>
      <w:bookmarkStart w:id="13" w:name="_Toc11326095"/>
      <w:bookmarkStart w:id="14" w:name="_Toc9066361"/>
      <w:r>
        <w:rPr>
          <w:rFonts w:hint="eastAsia" w:ascii="宋体" w:hAnsi="宋体" w:eastAsia="宋体" w:cs="Times New Roman"/>
          <w:b/>
          <w:sz w:val="36"/>
          <w:szCs w:val="20"/>
          <w:highlight w:val="none"/>
        </w:rPr>
        <w:t>货物需求一览表及技术规格</w:t>
      </w:r>
      <w:bookmarkEnd w:id="13"/>
      <w:bookmarkEnd w:id="14"/>
    </w:p>
    <w:p>
      <w:pPr>
        <w:pStyle w:val="56"/>
        <w:numPr>
          <w:ilvl w:val="0"/>
          <w:numId w:val="0"/>
        </w:numPr>
        <w:spacing w:line="360" w:lineRule="auto"/>
        <w:ind w:leftChars="0"/>
        <w:rPr>
          <w:rFonts w:hint="eastAsia" w:ascii="宋体" w:hAnsi="宋体" w:eastAsia="宋体" w:cs="宋体"/>
          <w:b w:val="0"/>
          <w:bCs w:val="0"/>
          <w:sz w:val="24"/>
          <w:szCs w:val="24"/>
          <w:lang w:val="en-US" w:eastAsia="zh-CN"/>
        </w:rPr>
      </w:pPr>
      <w:bookmarkStart w:id="15" w:name="_Toc11326096"/>
      <w:r>
        <w:rPr>
          <w:rFonts w:hint="eastAsia" w:ascii="宋体" w:hAnsi="宋体" w:eastAsia="宋体" w:cs="宋体"/>
          <w:b w:val="0"/>
          <w:bCs w:val="0"/>
          <w:sz w:val="24"/>
          <w:szCs w:val="24"/>
          <w:lang w:val="en-US" w:eastAsia="zh-CN"/>
        </w:rPr>
        <w:t>包件一：</w:t>
      </w:r>
    </w:p>
    <w:p>
      <w:pPr>
        <w:pStyle w:val="56"/>
        <w:numPr>
          <w:ilvl w:val="0"/>
          <w:numId w:val="4"/>
        </w:numPr>
        <w:spacing w:line="360" w:lineRule="auto"/>
        <w:ind w:left="-420" w:leftChars="0" w:firstLine="420" w:firstLineChars="0"/>
        <w:rPr>
          <w:rFonts w:hint="eastAsia" w:ascii="宋体" w:hAnsi="宋体" w:eastAsia="宋体" w:cs="宋体"/>
          <w:b w:val="0"/>
          <w:bCs w:val="0"/>
          <w:sz w:val="24"/>
          <w:szCs w:val="24"/>
        </w:rPr>
      </w:pPr>
      <w:r>
        <w:rPr>
          <w:rFonts w:hint="eastAsia" w:ascii="宋体" w:hAnsi="宋体" w:eastAsia="宋体" w:cs="Times New Roman"/>
          <w:sz w:val="24"/>
          <w:szCs w:val="24"/>
          <w:lang w:val="en-US" w:eastAsia="zh-CN"/>
        </w:rPr>
        <w:t>项</w:t>
      </w:r>
      <w:r>
        <w:rPr>
          <w:rFonts w:hint="eastAsia" w:ascii="宋体" w:hAnsi="宋体" w:eastAsia="宋体" w:cs="宋体"/>
          <w:sz w:val="24"/>
          <w:szCs w:val="24"/>
          <w:lang w:val="en-US" w:eastAsia="zh-CN"/>
        </w:rPr>
        <w:t>目</w:t>
      </w:r>
      <w:r>
        <w:rPr>
          <w:rFonts w:hint="eastAsia" w:ascii="宋体" w:hAnsi="宋体" w:eastAsia="宋体" w:cs="宋体"/>
          <w:b w:val="0"/>
          <w:bCs w:val="0"/>
          <w:sz w:val="24"/>
          <w:szCs w:val="24"/>
        </w:rPr>
        <w:t>名称：</w:t>
      </w:r>
      <w:r>
        <w:rPr>
          <w:rFonts w:hint="eastAsia" w:ascii="宋体" w:hAnsi="宋体" w:eastAsia="宋体" w:cs="Times New Roman"/>
          <w:sz w:val="24"/>
          <w:szCs w:val="20"/>
          <w:highlight w:val="none"/>
        </w:rPr>
        <w:t>测序反应通用试剂盒</w:t>
      </w:r>
      <w:r>
        <w:rPr>
          <w:rFonts w:hint="eastAsia" w:ascii="宋体" w:hAnsi="宋体" w:eastAsia="宋体" w:cs="Times New Roman"/>
          <w:sz w:val="24"/>
          <w:szCs w:val="20"/>
          <w:highlight w:val="none"/>
          <w:lang w:val="en-US" w:eastAsia="zh-CN"/>
        </w:rPr>
        <w:t>等</w:t>
      </w:r>
    </w:p>
    <w:p>
      <w:pPr>
        <w:pStyle w:val="56"/>
        <w:numPr>
          <w:ilvl w:val="0"/>
          <w:numId w:val="4"/>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6"/>
        <w:numPr>
          <w:ilvl w:val="0"/>
          <w:numId w:val="4"/>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6"/>
        <w:numPr>
          <w:ilvl w:val="0"/>
          <w:numId w:val="4"/>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pStyle w:val="56"/>
        <w:widowControl w:val="0"/>
        <w:numPr>
          <w:ilvl w:val="0"/>
          <w:numId w:val="4"/>
        </w:numPr>
        <w:spacing w:line="360" w:lineRule="auto"/>
        <w:ind w:left="-420" w:leftChars="0" w:firstLine="420" w:firstLineChars="0"/>
        <w:jc w:val="both"/>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技术指标要求</w:t>
      </w:r>
      <w:r>
        <w:rPr>
          <w:rFonts w:hint="eastAsia" w:ascii="宋体" w:hAnsi="宋体" w:eastAsia="宋体" w:cs="宋体"/>
          <w:b w:val="0"/>
          <w:bCs w:val="0"/>
          <w:sz w:val="24"/>
          <w:szCs w:val="24"/>
          <w:lang w:eastAsia="zh-CN"/>
        </w:rPr>
        <w:t>：</w:t>
      </w:r>
    </w:p>
    <w:p>
      <w:pPr>
        <w:numPr>
          <w:ilvl w:val="0"/>
          <w:numId w:val="5"/>
        </w:num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具有医疗器械注册证或备案证</w:t>
      </w:r>
    </w:p>
    <w:p>
      <w:pPr>
        <w:numPr>
          <w:ilvl w:val="0"/>
          <w:numId w:val="5"/>
        </w:num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试剂无需进行PCR扩增，无需在临床基因扩增检验实验室中开展</w:t>
      </w:r>
    </w:p>
    <w:p>
      <w:pPr>
        <w:numPr>
          <w:ilvl w:val="0"/>
          <w:numId w:val="5"/>
        </w:num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有效期≥12个月</w:t>
      </w:r>
    </w:p>
    <w:p>
      <w:pPr>
        <w:numPr>
          <w:ilvl w:val="0"/>
          <w:numId w:val="5"/>
        </w:num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检测通道数≥4</w:t>
      </w:r>
    </w:p>
    <w:p>
      <w:pPr>
        <w:numPr>
          <w:ilvl w:val="0"/>
          <w:numId w:val="5"/>
        </w:num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药物检测</w:t>
      </w:r>
      <w:r>
        <w:rPr>
          <w:rFonts w:hint="eastAsia" w:ascii="宋体" w:hAnsi="宋体" w:eastAsia="宋体" w:cs="宋体"/>
          <w:b w:val="0"/>
          <w:bCs w:val="0"/>
          <w:sz w:val="24"/>
          <w:szCs w:val="24"/>
          <w:highlight w:val="none"/>
          <w:lang w:val="en-US" w:eastAsia="zh-CN"/>
        </w:rPr>
        <w:t>可包含</w:t>
      </w:r>
      <w:r>
        <w:rPr>
          <w:rFonts w:hint="eastAsia" w:ascii="宋体" w:hAnsi="宋体" w:eastAsia="宋体" w:cs="宋体"/>
          <w:b w:val="0"/>
          <w:bCs w:val="0"/>
          <w:sz w:val="24"/>
          <w:szCs w:val="24"/>
          <w:highlight w:val="none"/>
        </w:rPr>
        <w:t>：（1）心脑血管系统药物（2）精神抑郁系统药物（3）抗感染系统药物（4）内分泌系统药物（5）免疫抑制剂（6）抗癫痫、痛风药物（7）抗肿瘤药物（8）非甾体抗炎药（9）抗过敏药物</w:t>
      </w:r>
    </w:p>
    <w:p>
      <w:pPr>
        <w:numPr>
          <w:ilvl w:val="0"/>
          <w:numId w:val="5"/>
        </w:num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highlight w:val="none"/>
        </w:rPr>
        <w:t>★投标人需</w:t>
      </w:r>
      <w:r>
        <w:rPr>
          <w:rFonts w:hint="eastAsia" w:ascii="宋体" w:hAnsi="宋体" w:eastAsia="宋体" w:cs="宋体"/>
          <w:b w:val="0"/>
          <w:bCs w:val="0"/>
          <w:sz w:val="24"/>
          <w:szCs w:val="24"/>
        </w:rPr>
        <w:t>响应医院SPD项目相关要求,并与上药医疗供应链管理(上海)有限公司签署相关SPD协议</w:t>
      </w:r>
      <w:r>
        <w:rPr>
          <w:rFonts w:hint="eastAsia" w:ascii="宋体" w:hAnsi="宋体" w:eastAsia="宋体" w:cs="宋体"/>
          <w:b w:val="0"/>
          <w:bCs w:val="0"/>
          <w:sz w:val="24"/>
          <w:szCs w:val="24"/>
          <w:lang w:eastAsia="zh-CN"/>
        </w:rPr>
        <w:t>。</w:t>
      </w:r>
    </w:p>
    <w:p>
      <w:pPr>
        <w:numPr>
          <w:ilvl w:val="0"/>
          <w:numId w:val="0"/>
        </w:numPr>
        <w:spacing w:line="360" w:lineRule="auto"/>
        <w:ind w:leftChars="0"/>
        <w:rPr>
          <w:rFonts w:hint="eastAsia" w:ascii="宋体" w:hAnsi="宋体" w:eastAsia="宋体" w:cs="宋体"/>
          <w:b w:val="0"/>
          <w:bCs w:val="0"/>
          <w:sz w:val="24"/>
          <w:szCs w:val="24"/>
        </w:rPr>
      </w:pPr>
    </w:p>
    <w:p>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page"/>
      </w:r>
    </w:p>
    <w:p>
      <w:pPr>
        <w:pStyle w:val="56"/>
        <w:numPr>
          <w:ilvl w:val="0"/>
          <w:numId w:val="0"/>
        </w:numPr>
        <w:spacing w:line="36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包件二：</w:t>
      </w:r>
    </w:p>
    <w:p>
      <w:pPr>
        <w:pStyle w:val="56"/>
        <w:numPr>
          <w:ilvl w:val="0"/>
          <w:numId w:val="6"/>
        </w:numPr>
        <w:spacing w:line="360" w:lineRule="auto"/>
        <w:ind w:left="-420" w:leftChars="0" w:firstLine="420" w:firstLineChars="0"/>
        <w:rPr>
          <w:rFonts w:hint="eastAsia" w:ascii="宋体" w:hAnsi="宋体" w:eastAsia="宋体" w:cs="宋体"/>
          <w:b w:val="0"/>
          <w:bCs w:val="0"/>
          <w:sz w:val="24"/>
          <w:szCs w:val="24"/>
        </w:rPr>
      </w:pPr>
      <w:r>
        <w:rPr>
          <w:rFonts w:hint="eastAsia" w:ascii="宋体" w:hAnsi="宋体" w:eastAsia="宋体" w:cs="Times New Roman"/>
          <w:sz w:val="24"/>
          <w:szCs w:val="24"/>
          <w:lang w:val="en-US" w:eastAsia="zh-CN"/>
        </w:rPr>
        <w:t>项</w:t>
      </w:r>
      <w:r>
        <w:rPr>
          <w:rFonts w:hint="eastAsia" w:ascii="宋体" w:hAnsi="宋体" w:eastAsia="宋体" w:cs="宋体"/>
          <w:sz w:val="24"/>
          <w:szCs w:val="24"/>
          <w:lang w:val="en-US" w:eastAsia="zh-CN"/>
        </w:rPr>
        <w:t>目</w:t>
      </w:r>
      <w:r>
        <w:rPr>
          <w:rFonts w:hint="eastAsia" w:ascii="宋体" w:hAnsi="宋体" w:eastAsia="宋体" w:cs="宋体"/>
          <w:b w:val="0"/>
          <w:bCs w:val="0"/>
          <w:sz w:val="24"/>
          <w:szCs w:val="24"/>
        </w:rPr>
        <w:t>名称：</w:t>
      </w:r>
      <w:r>
        <w:rPr>
          <w:rFonts w:hint="eastAsia" w:ascii="宋体" w:hAnsi="宋体" w:eastAsia="宋体" w:cs="宋体"/>
          <w:b w:val="0"/>
          <w:bCs w:val="0"/>
          <w:sz w:val="24"/>
          <w:szCs w:val="24"/>
          <w:lang w:val="en-US" w:eastAsia="zh-CN"/>
        </w:rPr>
        <w:t>丙型肝炎病毒核酸测定试剂盒（PCR-荧光探针法）</w:t>
      </w:r>
    </w:p>
    <w:p>
      <w:pPr>
        <w:pStyle w:val="56"/>
        <w:numPr>
          <w:ilvl w:val="0"/>
          <w:numId w:val="6"/>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6"/>
        <w:numPr>
          <w:ilvl w:val="0"/>
          <w:numId w:val="6"/>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6"/>
        <w:numPr>
          <w:ilvl w:val="0"/>
          <w:numId w:val="6"/>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pStyle w:val="56"/>
        <w:widowControl w:val="0"/>
        <w:numPr>
          <w:ilvl w:val="0"/>
          <w:numId w:val="6"/>
        </w:numPr>
        <w:spacing w:line="360" w:lineRule="auto"/>
        <w:ind w:left="-420" w:leftChars="0" w:firstLine="420" w:firstLineChars="0"/>
        <w:jc w:val="both"/>
        <w:rPr>
          <w:rFonts w:hint="eastAsia" w:ascii="宋体" w:hAnsi="宋体" w:eastAsia="宋体"/>
          <w:b w:val="0"/>
          <w:bCs w:val="0"/>
          <w:sz w:val="24"/>
          <w:szCs w:val="24"/>
          <w:lang w:eastAsia="zh-CN"/>
        </w:rPr>
      </w:pP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numPr>
          <w:ilvl w:val="0"/>
          <w:numId w:val="0"/>
        </w:numPr>
        <w:spacing w:line="360" w:lineRule="auto"/>
        <w:ind w:leftChars="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检测方法：荧光pcr方法</w:t>
      </w:r>
    </w:p>
    <w:p>
      <w:pPr>
        <w:numPr>
          <w:ilvl w:val="0"/>
          <w:numId w:val="0"/>
        </w:numPr>
        <w:spacing w:line="360" w:lineRule="auto"/>
        <w:ind w:leftChars="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检测下限：50IU/ml</w:t>
      </w:r>
    </w:p>
    <w:p>
      <w:pPr>
        <w:numPr>
          <w:ilvl w:val="0"/>
          <w:numId w:val="0"/>
        </w:numPr>
        <w:spacing w:line="360" w:lineRule="auto"/>
        <w:ind w:leftChars="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变异系数：（CV,%）≤5%</w:t>
      </w:r>
    </w:p>
    <w:p>
      <w:pPr>
        <w:numPr>
          <w:ilvl w:val="0"/>
          <w:numId w:val="0"/>
        </w:numPr>
        <w:spacing w:line="360" w:lineRule="auto"/>
        <w:ind w:leftChars="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线性范围：1000-10</w:t>
      </w:r>
      <w:bookmarkStart w:id="16" w:name="OLE_LINK109"/>
      <w:r>
        <w:rPr>
          <w:rFonts w:hint="eastAsia" w:ascii="宋体" w:hAnsi="宋体" w:eastAsia="宋体" w:cs="宋体"/>
          <w:b w:val="0"/>
          <w:bCs w:val="0"/>
          <w:sz w:val="24"/>
          <w:szCs w:val="24"/>
        </w:rPr>
        <w:t>8</w:t>
      </w:r>
      <w:bookmarkEnd w:id="16"/>
      <w:r>
        <w:rPr>
          <w:rFonts w:hint="eastAsia" w:ascii="宋体" w:hAnsi="宋体" w:eastAsia="宋体" w:cs="宋体"/>
          <w:b w:val="0"/>
          <w:bCs w:val="0"/>
          <w:sz w:val="24"/>
          <w:szCs w:val="24"/>
        </w:rPr>
        <w:t>IU/mL</w:t>
      </w:r>
    </w:p>
    <w:p>
      <w:pPr>
        <w:numPr>
          <w:ilvl w:val="0"/>
          <w:numId w:val="0"/>
        </w:numPr>
        <w:spacing w:line="360" w:lineRule="auto"/>
        <w:ind w:leftChars="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工作标准曲线的线性相关系数|r|≥0.980</w:t>
      </w:r>
    </w:p>
    <w:p>
      <w:pPr>
        <w:numPr>
          <w:ilvl w:val="0"/>
          <w:numId w:val="0"/>
        </w:numPr>
        <w:spacing w:line="360" w:lineRule="auto"/>
        <w:ind w:leftChars="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样本类型：血清、血浆</w:t>
      </w:r>
    </w:p>
    <w:p>
      <w:pPr>
        <w:numPr>
          <w:ilvl w:val="0"/>
          <w:numId w:val="0"/>
        </w:numPr>
        <w:spacing w:line="360" w:lineRule="auto"/>
        <w:ind w:leftChars="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7、</w:t>
      </w:r>
      <w:r>
        <w:rPr>
          <w:rFonts w:hint="eastAsia" w:ascii="宋体" w:hAnsi="宋体" w:eastAsia="宋体" w:cs="宋体"/>
          <w:b w:val="0"/>
          <w:bCs w:val="0"/>
          <w:sz w:val="24"/>
          <w:szCs w:val="24"/>
        </w:rPr>
        <w:t>精密性：使用阴性血浆稀释至约</w:t>
      </w:r>
      <w:bookmarkStart w:id="17" w:name="OLE_LINK111"/>
      <w:r>
        <w:rPr>
          <w:rFonts w:hint="eastAsia" w:ascii="宋体" w:hAnsi="宋体" w:eastAsia="宋体" w:cs="宋体"/>
          <w:b w:val="0"/>
          <w:bCs w:val="0"/>
          <w:sz w:val="24"/>
          <w:szCs w:val="24"/>
        </w:rPr>
        <w:t>1*104I</w:t>
      </w:r>
      <w:bookmarkStart w:id="18" w:name="OLE_LINK110"/>
      <w:r>
        <w:rPr>
          <w:rFonts w:hint="eastAsia" w:ascii="宋体" w:hAnsi="宋体" w:eastAsia="宋体" w:cs="宋体"/>
          <w:b w:val="0"/>
          <w:bCs w:val="0"/>
          <w:sz w:val="24"/>
          <w:szCs w:val="24"/>
        </w:rPr>
        <w:t>U/ml</w:t>
      </w:r>
      <w:bookmarkEnd w:id="17"/>
      <w:bookmarkEnd w:id="18"/>
      <w:r>
        <w:rPr>
          <w:rFonts w:hint="eastAsia" w:ascii="宋体" w:hAnsi="宋体" w:eastAsia="宋体" w:cs="宋体"/>
          <w:b w:val="0"/>
          <w:bCs w:val="0"/>
          <w:sz w:val="24"/>
          <w:szCs w:val="24"/>
        </w:rPr>
        <w:t>和1*106IU/ml各检测10次，定</w:t>
      </w:r>
      <w:bookmarkStart w:id="19" w:name="OLE_LINK113"/>
      <w:r>
        <w:rPr>
          <w:rFonts w:hint="eastAsia" w:ascii="宋体" w:hAnsi="宋体" w:eastAsia="宋体" w:cs="宋体"/>
          <w:b w:val="0"/>
          <w:bCs w:val="0"/>
          <w:sz w:val="24"/>
          <w:szCs w:val="24"/>
        </w:rPr>
        <w:t>量结果</w:t>
      </w:r>
      <w:bookmarkEnd w:id="19"/>
      <w:r>
        <w:rPr>
          <w:rFonts w:hint="eastAsia" w:ascii="宋体" w:hAnsi="宋体" w:eastAsia="宋体" w:cs="宋体"/>
          <w:b w:val="0"/>
          <w:bCs w:val="0"/>
          <w:sz w:val="24"/>
          <w:szCs w:val="24"/>
        </w:rPr>
        <w:t>的对数值CV≤5%</w:t>
      </w:r>
    </w:p>
    <w:p>
      <w:pPr>
        <w:numPr>
          <w:ilvl w:val="0"/>
          <w:numId w:val="0"/>
        </w:numPr>
        <w:spacing w:line="360" w:lineRule="auto"/>
        <w:ind w:leftChars="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7、</w:t>
      </w:r>
      <w:r>
        <w:rPr>
          <w:rFonts w:hint="eastAsia" w:ascii="宋体" w:hAnsi="宋体" w:eastAsia="宋体" w:cs="宋体"/>
          <w:b w:val="0"/>
          <w:bCs w:val="0"/>
          <w:sz w:val="24"/>
          <w:szCs w:val="24"/>
        </w:rPr>
        <w:t>交叉反应：对乙型病毒、EB病毒、人类免疫缺陷病毒I型、巨细胞病毒、单纯疱疹病毒I型、单纯疱疹病毒Ⅱ型、人乳头瘤病毒（16、18、6、11型）、肠病毒71型、弓形虫、大肠杆菌、肺炎支原体均无非特异性反应。</w:t>
      </w:r>
    </w:p>
    <w:p>
      <w:pPr>
        <w:numPr>
          <w:ilvl w:val="0"/>
          <w:numId w:val="0"/>
        </w:numPr>
        <w:spacing w:line="360" w:lineRule="auto"/>
        <w:ind w:leftChars="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抗干扰：3倍检测下限量的阳性血浆加入血红素（30g/dl）,胆红素（30mg/dl）,胆固醇（3g/dl），甘油三脂（3g/dl），检测结果表明这些干扰物质不影响试剂盒的性能。</w:t>
      </w:r>
    </w:p>
    <w:p>
      <w:pPr>
        <w:numPr>
          <w:ilvl w:val="0"/>
          <w:numId w:val="0"/>
        </w:numPr>
        <w:spacing w:line="360" w:lineRule="auto"/>
        <w:ind w:leftChars="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9、</w:t>
      </w:r>
      <w:r>
        <w:rPr>
          <w:rFonts w:hint="eastAsia" w:ascii="宋体" w:hAnsi="宋体" w:eastAsia="宋体" w:cs="宋体"/>
          <w:b w:val="0"/>
          <w:bCs w:val="0"/>
          <w:sz w:val="24"/>
          <w:szCs w:val="24"/>
        </w:rPr>
        <w:t>有效期</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12个月。</w:t>
      </w:r>
    </w:p>
    <w:p>
      <w:pPr>
        <w:numPr>
          <w:ilvl w:val="0"/>
          <w:numId w:val="0"/>
        </w:numPr>
        <w:spacing w:line="360" w:lineRule="auto"/>
        <w:ind w:leftChars="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10、</w:t>
      </w:r>
      <w:r>
        <w:rPr>
          <w:rFonts w:hint="eastAsia" w:ascii="宋体" w:hAnsi="宋体" w:eastAsia="宋体" w:cs="宋体"/>
          <w:b w:val="0"/>
          <w:bCs w:val="0"/>
          <w:sz w:val="24"/>
          <w:szCs w:val="24"/>
        </w:rPr>
        <w:t>具有医疗器械注册许可证。</w:t>
      </w:r>
    </w:p>
    <w:p>
      <w:pPr>
        <w:numPr>
          <w:ilvl w:val="0"/>
          <w:numId w:val="0"/>
        </w:numPr>
        <w:spacing w:line="360" w:lineRule="auto"/>
        <w:ind w:leftChars="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11、</w:t>
      </w:r>
      <w:r>
        <w:rPr>
          <w:rFonts w:hint="eastAsia" w:ascii="宋体" w:hAnsi="宋体" w:eastAsia="宋体" w:cs="宋体"/>
          <w:b w:val="0"/>
          <w:bCs w:val="0"/>
          <w:sz w:val="24"/>
          <w:szCs w:val="24"/>
        </w:rPr>
        <w:t>★投标人需响应医院SPD项目相关要求,并与上药医疗供应链管理(上海)有限公司签署相关SPD协议</w:t>
      </w:r>
      <w:r>
        <w:rPr>
          <w:rFonts w:hint="eastAsia" w:ascii="宋体" w:hAnsi="宋体" w:eastAsia="宋体" w:cs="宋体"/>
          <w:b w:val="0"/>
          <w:bCs w:val="0"/>
          <w:sz w:val="24"/>
          <w:szCs w:val="24"/>
          <w:lang w:eastAsia="zh-CN"/>
        </w:rPr>
        <w:t>。</w:t>
      </w:r>
    </w:p>
    <w:p>
      <w:pPr>
        <w:numPr>
          <w:ilvl w:val="0"/>
          <w:numId w:val="0"/>
        </w:numPr>
        <w:spacing w:line="360" w:lineRule="auto"/>
        <w:ind w:leftChars="0"/>
        <w:rPr>
          <w:rFonts w:hint="eastAsia" w:ascii="宋体" w:hAnsi="宋体" w:eastAsia="宋体" w:cs="宋体"/>
          <w:b w:val="0"/>
          <w:bCs w:val="0"/>
          <w:sz w:val="24"/>
          <w:szCs w:val="24"/>
        </w:rPr>
      </w:pPr>
    </w:p>
    <w:p>
      <w:pPr>
        <w:numPr>
          <w:ilvl w:val="0"/>
          <w:numId w:val="0"/>
        </w:numPr>
        <w:spacing w:line="360" w:lineRule="auto"/>
        <w:ind w:leftChars="0"/>
        <w:rPr>
          <w:rFonts w:hint="eastAsia" w:ascii="宋体" w:hAnsi="宋体" w:eastAsia="宋体" w:cs="Times New Roman"/>
          <w:b/>
          <w:sz w:val="28"/>
          <w:szCs w:val="20"/>
        </w:rPr>
      </w:pPr>
    </w:p>
    <w:p>
      <w:pP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br w:type="page"/>
      </w:r>
    </w:p>
    <w:p>
      <w:pPr>
        <w:pStyle w:val="56"/>
        <w:numPr>
          <w:ilvl w:val="0"/>
          <w:numId w:val="0"/>
        </w:numPr>
        <w:spacing w:line="36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包件三：</w:t>
      </w:r>
    </w:p>
    <w:p>
      <w:pPr>
        <w:pStyle w:val="56"/>
        <w:numPr>
          <w:ilvl w:val="0"/>
          <w:numId w:val="7"/>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Times New Roman"/>
          <w:sz w:val="24"/>
          <w:szCs w:val="24"/>
          <w:lang w:val="en-US" w:eastAsia="zh-CN"/>
        </w:rPr>
        <w:t>项</w:t>
      </w:r>
      <w:r>
        <w:rPr>
          <w:rFonts w:hint="eastAsia" w:ascii="宋体" w:hAnsi="宋体" w:eastAsia="宋体" w:cs="宋体"/>
          <w:sz w:val="24"/>
          <w:szCs w:val="24"/>
          <w:lang w:val="en-US" w:eastAsia="zh-CN"/>
        </w:rPr>
        <w:t>目</w:t>
      </w:r>
      <w:r>
        <w:rPr>
          <w:rFonts w:hint="eastAsia" w:ascii="宋体" w:hAnsi="宋体" w:eastAsia="宋体" w:cs="宋体"/>
          <w:b w:val="0"/>
          <w:bCs w:val="0"/>
          <w:sz w:val="24"/>
          <w:szCs w:val="24"/>
        </w:rPr>
        <w:t>名称</w:t>
      </w:r>
      <w:r>
        <w:rPr>
          <w:rFonts w:hint="eastAsia" w:ascii="宋体" w:hAnsi="宋体" w:eastAsia="宋体" w:cs="宋体"/>
          <w:b w:val="0"/>
          <w:bCs w:val="0"/>
          <w:sz w:val="24"/>
          <w:szCs w:val="24"/>
          <w:lang w:val="en-US" w:eastAsia="zh-CN"/>
        </w:rPr>
        <w:t>：免疫显色试剂</w:t>
      </w:r>
    </w:p>
    <w:p>
      <w:pPr>
        <w:pStyle w:val="56"/>
        <w:numPr>
          <w:ilvl w:val="0"/>
          <w:numId w:val="7"/>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6"/>
        <w:numPr>
          <w:ilvl w:val="0"/>
          <w:numId w:val="7"/>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6"/>
        <w:numPr>
          <w:ilvl w:val="0"/>
          <w:numId w:val="7"/>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pStyle w:val="56"/>
        <w:widowControl w:val="0"/>
        <w:numPr>
          <w:ilvl w:val="0"/>
          <w:numId w:val="7"/>
        </w:numPr>
        <w:spacing w:line="360" w:lineRule="auto"/>
        <w:ind w:left="-420" w:leftChars="0" w:firstLine="420" w:firstLineChars="0"/>
        <w:jc w:val="both"/>
        <w:rPr>
          <w:rFonts w:hint="eastAsia" w:ascii="宋体" w:hAnsi="宋体" w:eastAsia="宋体"/>
          <w:b w:val="0"/>
          <w:bCs w:val="0"/>
          <w:sz w:val="24"/>
          <w:szCs w:val="24"/>
          <w:lang w:eastAsia="zh-CN"/>
        </w:rPr>
      </w:pP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pStyle w:val="18"/>
        <w:numPr>
          <w:ilvl w:val="0"/>
          <w:numId w:val="8"/>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在免疫组化反应或原位杂交反应中与首要抗原结合，通过荧光染色，将靶点进行标记。</w:t>
      </w:r>
    </w:p>
    <w:p>
      <w:pPr>
        <w:pStyle w:val="18"/>
        <w:numPr>
          <w:ilvl w:val="0"/>
          <w:numId w:val="8"/>
        </w:numPr>
        <w:spacing w:line="360" w:lineRule="auto"/>
        <w:ind w:leftChars="0"/>
        <w:rPr>
          <w:rFonts w:hint="eastAsia" w:ascii="宋体" w:hAnsi="宋体" w:eastAsia="宋体" w:cs="宋体"/>
          <w:sz w:val="24"/>
          <w:szCs w:val="24"/>
          <w:lang w:val="en-US" w:eastAsia="zh-CN"/>
        </w:rPr>
      </w:pPr>
      <w:r>
        <w:rPr>
          <w:rFonts w:hint="eastAsia" w:hAnsi="宋体" w:cs="宋体"/>
          <w:sz w:val="24"/>
          <w:szCs w:val="24"/>
          <w:lang w:val="en-US" w:eastAsia="zh-CN"/>
        </w:rPr>
        <w:t>组成部分：荧光素、甘油、复染剂、IgG、水</w:t>
      </w:r>
    </w:p>
    <w:p>
      <w:pPr>
        <w:pStyle w:val="18"/>
        <w:numPr>
          <w:ilvl w:val="0"/>
          <w:numId w:val="8"/>
        </w:numPr>
        <w:spacing w:line="360" w:lineRule="auto"/>
        <w:ind w:leftChars="0"/>
        <w:rPr>
          <w:rFonts w:hint="eastAsia" w:ascii="宋体" w:hAnsi="宋体" w:eastAsia="宋体" w:cs="宋体"/>
          <w:sz w:val="24"/>
          <w:szCs w:val="24"/>
          <w:lang w:val="en-US" w:eastAsia="zh-CN"/>
        </w:rPr>
      </w:pPr>
      <w:r>
        <w:rPr>
          <w:rFonts w:hint="eastAsia" w:hAnsi="宋体" w:cs="宋体"/>
          <w:sz w:val="24"/>
          <w:szCs w:val="24"/>
          <w:lang w:val="en-US" w:eastAsia="zh-CN"/>
        </w:rPr>
        <w:t>样本要求：胃粘膜组织</w:t>
      </w:r>
    </w:p>
    <w:p>
      <w:pPr>
        <w:pStyle w:val="18"/>
        <w:numPr>
          <w:ilvl w:val="0"/>
          <w:numId w:val="8"/>
        </w:numPr>
        <w:spacing w:line="360" w:lineRule="auto"/>
        <w:ind w:leftChars="0"/>
        <w:rPr>
          <w:rFonts w:hint="eastAsia" w:ascii="宋体" w:hAnsi="宋体" w:eastAsia="宋体" w:cs="宋体"/>
          <w:sz w:val="24"/>
          <w:szCs w:val="24"/>
          <w:lang w:val="en-US" w:eastAsia="zh-CN"/>
        </w:rPr>
      </w:pPr>
      <w:r>
        <w:rPr>
          <w:rFonts w:hint="eastAsia" w:hAnsi="宋体" w:cs="宋体"/>
          <w:sz w:val="24"/>
          <w:szCs w:val="24"/>
          <w:lang w:val="en-US" w:eastAsia="zh-CN"/>
        </w:rPr>
        <w:t>有效期：≥24个月，试剂开瓶后，常温状态下≥90天</w:t>
      </w:r>
    </w:p>
    <w:p>
      <w:pPr>
        <w:pStyle w:val="18"/>
        <w:numPr>
          <w:ilvl w:val="0"/>
          <w:numId w:val="8"/>
        </w:numPr>
        <w:spacing w:line="360" w:lineRule="auto"/>
        <w:ind w:leftChars="0"/>
        <w:rPr>
          <w:rFonts w:hint="eastAsia" w:ascii="宋体" w:hAnsi="宋体" w:eastAsia="宋体" w:cs="宋体"/>
          <w:b w:val="0"/>
          <w:bCs/>
          <w:szCs w:val="21"/>
          <w:highlight w:val="none"/>
        </w:rPr>
      </w:pPr>
      <w:r>
        <w:rPr>
          <w:rFonts w:hint="eastAsia" w:ascii="宋体" w:hAnsi="宋体" w:eastAsia="宋体" w:cs="宋体"/>
          <w:sz w:val="24"/>
          <w:szCs w:val="24"/>
          <w:lang w:val="en-US" w:eastAsia="zh-CN"/>
        </w:rPr>
        <w:t>★投标人需响应医院SPD项目相关要求,并与上药医疗供应链管理(上海)有限公司签署相关SPD协议</w:t>
      </w:r>
      <w:r>
        <w:rPr>
          <w:rFonts w:hint="eastAsia" w:hAnsi="宋体" w:cs="宋体"/>
          <w:sz w:val="24"/>
          <w:szCs w:val="24"/>
          <w:lang w:val="en-US" w:eastAsia="zh-CN"/>
        </w:rPr>
        <w:t>。</w:t>
      </w: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page"/>
      </w:r>
    </w:p>
    <w:p>
      <w:pPr>
        <w:pStyle w:val="56"/>
        <w:numPr>
          <w:ilvl w:val="0"/>
          <w:numId w:val="0"/>
        </w:numPr>
        <w:spacing w:line="36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包件四：</w:t>
      </w:r>
    </w:p>
    <w:p>
      <w:pPr>
        <w:pStyle w:val="56"/>
        <w:numPr>
          <w:ilvl w:val="0"/>
          <w:numId w:val="9"/>
        </w:numPr>
        <w:spacing w:line="360" w:lineRule="auto"/>
        <w:ind w:left="-420" w:leftChars="0" w:firstLine="420" w:firstLineChars="0"/>
        <w:rPr>
          <w:rFonts w:hint="eastAsia" w:ascii="宋体" w:hAnsi="宋体" w:eastAsia="宋体"/>
          <w:b w:val="0"/>
          <w:bCs w:val="0"/>
          <w:sz w:val="24"/>
          <w:szCs w:val="24"/>
          <w:highlight w:val="none"/>
          <w:lang w:val="en-US" w:eastAsia="zh-CN"/>
        </w:rPr>
      </w:pPr>
      <w:r>
        <w:rPr>
          <w:rFonts w:hint="eastAsia" w:ascii="宋体" w:hAnsi="宋体" w:eastAsia="宋体" w:cs="Times New Roman"/>
          <w:sz w:val="24"/>
          <w:szCs w:val="24"/>
          <w:highlight w:val="none"/>
          <w:lang w:val="en-US" w:eastAsia="zh-CN"/>
        </w:rPr>
        <w:t>项</w:t>
      </w:r>
      <w:r>
        <w:rPr>
          <w:rFonts w:hint="eastAsia" w:ascii="宋体" w:hAnsi="宋体" w:eastAsia="宋体" w:cs="宋体"/>
          <w:sz w:val="24"/>
          <w:szCs w:val="24"/>
          <w:highlight w:val="none"/>
          <w:lang w:val="en-US" w:eastAsia="zh-CN"/>
        </w:rPr>
        <w:t>目</w:t>
      </w:r>
      <w:r>
        <w:rPr>
          <w:rFonts w:hint="eastAsia" w:ascii="宋体" w:hAnsi="宋体" w:eastAsia="宋体" w:cs="宋体"/>
          <w:b w:val="0"/>
          <w:bCs w:val="0"/>
          <w:sz w:val="24"/>
          <w:szCs w:val="24"/>
          <w:highlight w:val="none"/>
        </w:rPr>
        <w:t>名称</w:t>
      </w:r>
      <w:r>
        <w:rPr>
          <w:rFonts w:hint="eastAsia" w:ascii="宋体" w:hAnsi="宋体" w:eastAsia="宋体"/>
          <w:b w:val="0"/>
          <w:bCs w:val="0"/>
          <w:sz w:val="24"/>
          <w:szCs w:val="24"/>
          <w:highlight w:val="none"/>
          <w:lang w:val="en-US" w:eastAsia="zh-CN"/>
        </w:rPr>
        <w:t>：人乳头瘤病毒(HPV)E6E7mRNA检测试剂盒</w:t>
      </w:r>
    </w:p>
    <w:p>
      <w:pPr>
        <w:pStyle w:val="56"/>
        <w:numPr>
          <w:ilvl w:val="0"/>
          <w:numId w:val="9"/>
        </w:numPr>
        <w:spacing w:line="360" w:lineRule="auto"/>
        <w:ind w:left="-420" w:leftChars="0" w:firstLine="420" w:firstLineChars="0"/>
        <w:rPr>
          <w:rFonts w:ascii="宋体" w:hAnsi="宋体" w:eastAsia="宋体"/>
          <w:b w:val="0"/>
          <w:bCs w:val="0"/>
          <w:sz w:val="24"/>
          <w:szCs w:val="24"/>
          <w:highlight w:val="none"/>
        </w:rPr>
      </w:pPr>
      <w:r>
        <w:rPr>
          <w:rFonts w:hint="eastAsia" w:ascii="宋体" w:hAnsi="宋体" w:eastAsia="宋体"/>
          <w:b w:val="0"/>
          <w:bCs w:val="0"/>
          <w:sz w:val="24"/>
          <w:szCs w:val="24"/>
          <w:highlight w:val="none"/>
        </w:rPr>
        <w:t>交货时间：</w:t>
      </w:r>
      <w:r>
        <w:rPr>
          <w:rFonts w:hint="eastAsia" w:ascii="宋体" w:hAnsi="宋体" w:eastAsia="宋体"/>
          <w:b w:val="0"/>
          <w:bCs w:val="0"/>
          <w:sz w:val="24"/>
          <w:szCs w:val="24"/>
          <w:highlight w:val="none"/>
          <w:lang w:val="en-US" w:eastAsia="zh-CN"/>
        </w:rPr>
        <w:t>买方指定时间</w:t>
      </w:r>
    </w:p>
    <w:p>
      <w:pPr>
        <w:pStyle w:val="56"/>
        <w:numPr>
          <w:ilvl w:val="0"/>
          <w:numId w:val="9"/>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6"/>
        <w:numPr>
          <w:ilvl w:val="0"/>
          <w:numId w:val="9"/>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pStyle w:val="56"/>
        <w:widowControl w:val="0"/>
        <w:numPr>
          <w:ilvl w:val="0"/>
          <w:numId w:val="9"/>
        </w:numPr>
        <w:spacing w:line="360" w:lineRule="auto"/>
        <w:ind w:left="-420" w:leftChars="0" w:firstLine="420" w:firstLineChars="0"/>
        <w:jc w:val="both"/>
        <w:rPr>
          <w:rFonts w:hint="eastAsia" w:ascii="宋体" w:hAnsi="宋体" w:eastAsia="宋体" w:cs="宋体"/>
          <w:b w:val="0"/>
          <w:bCs w:val="0"/>
          <w:color w:val="auto"/>
          <w:sz w:val="24"/>
          <w:szCs w:val="24"/>
          <w:lang w:eastAsia="zh-CN"/>
        </w:rPr>
      </w:pPr>
      <w:r>
        <w:rPr>
          <w:rFonts w:hint="eastAsia" w:ascii="宋体" w:hAnsi="宋体" w:eastAsia="宋体" w:cs="宋体"/>
          <w:b w:val="0"/>
          <w:bCs w:val="0"/>
          <w:sz w:val="24"/>
          <w:szCs w:val="24"/>
        </w:rPr>
        <w:t>技术指</w:t>
      </w:r>
      <w:r>
        <w:rPr>
          <w:rFonts w:hint="eastAsia" w:ascii="宋体" w:hAnsi="宋体" w:eastAsia="宋体" w:cs="宋体"/>
          <w:b w:val="0"/>
          <w:bCs w:val="0"/>
          <w:color w:val="auto"/>
          <w:sz w:val="24"/>
          <w:szCs w:val="24"/>
        </w:rPr>
        <w:t>标要求</w:t>
      </w:r>
      <w:r>
        <w:rPr>
          <w:rFonts w:hint="eastAsia" w:ascii="宋体" w:hAnsi="宋体" w:eastAsia="宋体" w:cs="宋体"/>
          <w:b w:val="0"/>
          <w:bCs w:val="0"/>
          <w:color w:val="auto"/>
          <w:sz w:val="24"/>
          <w:szCs w:val="24"/>
          <w:lang w:eastAsia="zh-CN"/>
        </w:rPr>
        <w:t>：</w:t>
      </w:r>
    </w:p>
    <w:p>
      <w:pPr>
        <w:numPr>
          <w:ilvl w:val="0"/>
          <w:numId w:val="10"/>
        </w:numPr>
        <w:spacing w:line="360" w:lineRule="auto"/>
        <w:rPr>
          <w:rFonts w:hint="eastAsia" w:ascii="宋体" w:hAnsi="宋体" w:eastAsia="宋体" w:cs="宋体"/>
          <w:b w:val="0"/>
          <w:bCs w:val="0"/>
          <w:sz w:val="28"/>
          <w:szCs w:val="20"/>
        </w:rPr>
      </w:pPr>
      <w:r>
        <w:rPr>
          <w:rFonts w:hint="eastAsia" w:ascii="宋体" w:hAnsi="宋体" w:eastAsia="宋体" w:cs="宋体"/>
          <w:b w:val="0"/>
          <w:bCs w:val="0"/>
          <w:sz w:val="24"/>
          <w:szCs w:val="24"/>
          <w:lang w:val="en-US" w:eastAsia="zh-CN"/>
        </w:rPr>
        <w:t>★投标人需响应医院SPD项目相关要求,并与上药医疗供应链管理(上海)有限公司签署相关SPD协议。</w:t>
      </w:r>
    </w:p>
    <w:p>
      <w:pPr>
        <w:ind w:left="1446" w:hanging="1440" w:hangingChars="600"/>
        <w:jc w:val="left"/>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2、样本类型： 宫颈脱落细胞样本（与HPV DNA检测和TCT取样相同），通常保存于液体细胞保存液中。</w:t>
      </w:r>
    </w:p>
    <w:p>
      <w:pPr>
        <w:ind w:left="1446" w:hanging="1440" w:hangingChars="600"/>
        <w:jc w:val="left"/>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3、意义： 用于宫颈癌的普查与复查，在癌症的早期预防与筛查及发病风险度的确定、子宫颈癌前病变的治疗、子宫颈癌术后跟踪。</w:t>
      </w:r>
    </w:p>
    <w:p>
      <w:pPr>
        <w:jc w:val="left"/>
        <w:rPr>
          <w:rFonts w:hint="eastAsia" w:ascii="宋体" w:hAnsi="宋体" w:eastAsia="宋体" w:cs="宋体"/>
          <w:b w:val="0"/>
          <w:bCs w:val="0"/>
          <w:sz w:val="24"/>
          <w:szCs w:val="32"/>
          <w:lang w:val="en-US" w:eastAsia="zh-CN"/>
        </w:rPr>
      </w:pPr>
    </w:p>
    <w:p>
      <w:pPr>
        <w:numPr>
          <w:ilvl w:val="0"/>
          <w:numId w:val="0"/>
        </w:numPr>
        <w:jc w:val="left"/>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4、分析灵敏度</w:t>
      </w:r>
    </w:p>
    <w:tbl>
      <w:tblPr>
        <w:tblStyle w:val="221"/>
        <w:tblW w:w="943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98"/>
        <w:gridCol w:w="43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2" w:hRule="atLeast"/>
        </w:trPr>
        <w:tc>
          <w:tcPr>
            <w:tcW w:w="5098" w:type="dxa"/>
            <w:vAlign w:val="top"/>
          </w:tcPr>
          <w:p>
            <w:pPr>
              <w:pStyle w:val="220"/>
              <w:spacing w:before="115" w:line="219" w:lineRule="auto"/>
              <w:ind w:left="1464"/>
              <w:rPr>
                <w:rFonts w:hint="eastAsia" w:ascii="宋体" w:hAnsi="宋体" w:eastAsia="宋体" w:cs="宋体"/>
                <w:b w:val="0"/>
                <w:bCs w:val="0"/>
                <w:kern w:val="2"/>
                <w:sz w:val="24"/>
                <w:szCs w:val="32"/>
                <w:lang w:val="en-US" w:eastAsia="zh-CN" w:bidi="ar-SA"/>
              </w:rPr>
            </w:pPr>
            <w:r>
              <w:rPr>
                <w:rFonts w:hint="eastAsia" w:ascii="宋体" w:hAnsi="宋体" w:eastAsia="宋体" w:cs="宋体"/>
                <w:b w:val="0"/>
                <w:bCs w:val="0"/>
                <w:kern w:val="2"/>
                <w:sz w:val="24"/>
                <w:szCs w:val="32"/>
                <w:lang w:val="en-US" w:eastAsia="zh-CN" w:bidi="ar-SA"/>
              </w:rPr>
              <w:t>参考品名称</w:t>
            </w:r>
          </w:p>
        </w:tc>
        <w:tc>
          <w:tcPr>
            <w:tcW w:w="4335" w:type="dxa"/>
            <w:vAlign w:val="top"/>
          </w:tcPr>
          <w:p>
            <w:pPr>
              <w:pStyle w:val="220"/>
              <w:spacing w:before="115" w:line="219" w:lineRule="auto"/>
              <w:ind w:left="1076"/>
              <w:rPr>
                <w:rFonts w:hint="eastAsia" w:ascii="宋体" w:hAnsi="宋体" w:eastAsia="宋体" w:cs="宋体"/>
                <w:b w:val="0"/>
                <w:bCs w:val="0"/>
                <w:kern w:val="2"/>
                <w:sz w:val="24"/>
                <w:szCs w:val="32"/>
                <w:lang w:val="en-US" w:eastAsia="zh-CN" w:bidi="ar-SA"/>
              </w:rPr>
            </w:pPr>
            <w:r>
              <w:rPr>
                <w:rFonts w:hint="eastAsia" w:ascii="宋体" w:hAnsi="宋体" w:eastAsia="宋体" w:cs="宋体"/>
                <w:b w:val="0"/>
                <w:bCs w:val="0"/>
                <w:kern w:val="2"/>
                <w:sz w:val="24"/>
                <w:szCs w:val="32"/>
                <w:lang w:val="en-US" w:eastAsia="zh-CN" w:bidi="ar-SA"/>
              </w:rPr>
              <w:t>检测结果(RLU/CO)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8" w:hRule="atLeast"/>
        </w:trPr>
        <w:tc>
          <w:tcPr>
            <w:tcW w:w="5098" w:type="dxa"/>
            <w:vAlign w:val="top"/>
          </w:tcPr>
          <w:p>
            <w:pPr>
              <w:pStyle w:val="220"/>
              <w:spacing w:before="242" w:line="253" w:lineRule="auto"/>
              <w:ind w:left="23" w:hanging="9"/>
              <w:rPr>
                <w:rFonts w:hint="eastAsia" w:ascii="宋体" w:hAnsi="宋体" w:eastAsia="宋体" w:cs="宋体"/>
                <w:b w:val="0"/>
                <w:bCs w:val="0"/>
                <w:kern w:val="2"/>
                <w:sz w:val="24"/>
                <w:szCs w:val="32"/>
                <w:lang w:val="en-US" w:eastAsia="zh-CN" w:bidi="ar-SA"/>
              </w:rPr>
            </w:pPr>
            <w:r>
              <w:rPr>
                <w:rFonts w:hint="eastAsia" w:ascii="宋体" w:hAnsi="宋体" w:eastAsia="宋体" w:cs="宋体"/>
                <w:b w:val="0"/>
                <w:bCs w:val="0"/>
                <w:kern w:val="2"/>
                <w:sz w:val="24"/>
                <w:szCs w:val="32"/>
                <w:lang w:val="en-US" w:eastAsia="zh-CN" w:bidi="ar-SA"/>
              </w:rPr>
              <w:t>L16、L18、L31、L33、L35、L39、L45、 L51、L52、L56、L58、L59、L66、L68</w:t>
            </w:r>
          </w:p>
        </w:tc>
        <w:tc>
          <w:tcPr>
            <w:tcW w:w="4335" w:type="dxa"/>
            <w:vAlign w:val="top"/>
          </w:tcPr>
          <w:p>
            <w:pPr>
              <w:pStyle w:val="220"/>
              <w:spacing w:before="131" w:line="294" w:lineRule="auto"/>
              <w:ind w:left="1445" w:right="309" w:hanging="1120"/>
              <w:rPr>
                <w:rFonts w:hint="eastAsia" w:ascii="宋体" w:hAnsi="宋体" w:eastAsia="宋体" w:cs="宋体"/>
                <w:b w:val="0"/>
                <w:bCs w:val="0"/>
                <w:kern w:val="2"/>
                <w:sz w:val="24"/>
                <w:szCs w:val="32"/>
                <w:lang w:val="en-US" w:eastAsia="zh-CN" w:bidi="ar-SA"/>
              </w:rPr>
            </w:pPr>
            <w:r>
              <w:rPr>
                <w:rFonts w:hint="eastAsia" w:ascii="宋体" w:hAnsi="宋体" w:eastAsia="宋体" w:cs="宋体"/>
                <w:b w:val="0"/>
                <w:bCs w:val="0"/>
                <w:kern w:val="2"/>
                <w:sz w:val="24"/>
                <w:szCs w:val="32"/>
                <w:lang w:val="en-US" w:eastAsia="zh-CN" w:bidi="ar-SA"/>
              </w:rPr>
              <w:t>检测结果RLU/CO&gt;1.0且检测结果 RLU/CO&lt;3.5</w:t>
            </w:r>
          </w:p>
        </w:tc>
      </w:tr>
    </w:tbl>
    <w:p>
      <w:pPr>
        <w:jc w:val="left"/>
        <w:rPr>
          <w:rFonts w:hint="eastAsia" w:ascii="宋体" w:hAnsi="宋体" w:eastAsia="宋体" w:cs="宋体"/>
          <w:b w:val="0"/>
          <w:bCs w:val="0"/>
          <w:sz w:val="24"/>
          <w:szCs w:val="32"/>
          <w:lang w:val="en-US" w:eastAsia="zh-CN"/>
        </w:rPr>
      </w:pPr>
    </w:p>
    <w:p>
      <w:pPr>
        <w:pStyle w:val="15"/>
        <w:spacing w:before="54" w:line="219" w:lineRule="auto"/>
        <w:jc w:val="left"/>
        <w:rPr>
          <w:rFonts w:hint="eastAsia" w:ascii="宋体" w:hAnsi="宋体" w:eastAsia="宋体" w:cs="宋体"/>
          <w:b w:val="0"/>
          <w:bCs w:val="0"/>
          <w:kern w:val="2"/>
          <w:sz w:val="24"/>
          <w:szCs w:val="32"/>
          <w:lang w:val="en-US" w:eastAsia="zh-CN" w:bidi="ar-SA"/>
        </w:rPr>
      </w:pPr>
      <w:r>
        <w:rPr>
          <w:rFonts w:hint="eastAsia" w:ascii="宋体" w:hAnsi="宋体" w:eastAsia="宋体" w:cs="宋体"/>
          <w:b w:val="0"/>
          <w:bCs w:val="0"/>
          <w:sz w:val="24"/>
          <w:szCs w:val="32"/>
          <w:lang w:val="en-US" w:eastAsia="zh-CN"/>
        </w:rPr>
        <w:t>5、分析特异性</w:t>
      </w:r>
    </w:p>
    <w:p>
      <w:pPr>
        <w:spacing w:line="38" w:lineRule="exact"/>
        <w:rPr>
          <w:rFonts w:hint="eastAsia" w:ascii="宋体" w:hAnsi="宋体" w:eastAsia="宋体" w:cs="宋体"/>
          <w:b w:val="0"/>
          <w:bCs w:val="0"/>
          <w:kern w:val="2"/>
          <w:sz w:val="24"/>
          <w:szCs w:val="32"/>
          <w:lang w:val="en-US" w:eastAsia="zh-CN" w:bidi="ar-SA"/>
        </w:rPr>
      </w:pPr>
    </w:p>
    <w:tbl>
      <w:tblPr>
        <w:tblStyle w:val="221"/>
        <w:tblW w:w="9434"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76"/>
        <w:gridCol w:w="43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2" w:hRule="atLeast"/>
        </w:trPr>
        <w:tc>
          <w:tcPr>
            <w:tcW w:w="5076" w:type="dxa"/>
            <w:vAlign w:val="top"/>
          </w:tcPr>
          <w:p>
            <w:pPr>
              <w:pStyle w:val="220"/>
              <w:spacing w:before="124" w:line="219" w:lineRule="auto"/>
              <w:ind w:left="1505"/>
              <w:rPr>
                <w:rFonts w:hint="eastAsia" w:ascii="宋体" w:hAnsi="宋体" w:eastAsia="宋体" w:cs="宋体"/>
                <w:b w:val="0"/>
                <w:bCs w:val="0"/>
                <w:kern w:val="2"/>
                <w:sz w:val="24"/>
                <w:szCs w:val="32"/>
                <w:lang w:val="en-US" w:eastAsia="zh-CN" w:bidi="ar-SA"/>
              </w:rPr>
            </w:pPr>
            <w:r>
              <w:rPr>
                <w:rFonts w:hint="eastAsia" w:ascii="宋体" w:hAnsi="宋体" w:eastAsia="宋体" w:cs="宋体"/>
                <w:b w:val="0"/>
                <w:bCs w:val="0"/>
                <w:kern w:val="2"/>
                <w:sz w:val="24"/>
                <w:szCs w:val="32"/>
                <w:lang w:val="en-US" w:eastAsia="zh-CN" w:bidi="ar-SA"/>
              </w:rPr>
              <w:t>参考品名称</w:t>
            </w:r>
          </w:p>
        </w:tc>
        <w:tc>
          <w:tcPr>
            <w:tcW w:w="4358" w:type="dxa"/>
            <w:vAlign w:val="top"/>
          </w:tcPr>
          <w:p>
            <w:pPr>
              <w:pStyle w:val="220"/>
              <w:spacing w:before="124" w:line="219" w:lineRule="auto"/>
              <w:ind w:left="1155"/>
              <w:rPr>
                <w:rFonts w:hint="eastAsia" w:ascii="宋体" w:hAnsi="宋体" w:eastAsia="宋体" w:cs="宋体"/>
                <w:b w:val="0"/>
                <w:bCs w:val="0"/>
                <w:kern w:val="2"/>
                <w:sz w:val="24"/>
                <w:szCs w:val="32"/>
                <w:lang w:val="en-US" w:eastAsia="zh-CN" w:bidi="ar-SA"/>
              </w:rPr>
            </w:pPr>
            <w:r>
              <w:rPr>
                <w:rFonts w:hint="eastAsia" w:ascii="宋体" w:hAnsi="宋体" w:eastAsia="宋体" w:cs="宋体"/>
                <w:b w:val="0"/>
                <w:bCs w:val="0"/>
                <w:kern w:val="2"/>
                <w:sz w:val="24"/>
                <w:szCs w:val="32"/>
                <w:lang w:val="en-US" w:eastAsia="zh-CN" w:bidi="ar-SA"/>
              </w:rPr>
              <w:t>检测结果(RLU/CO)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25" w:hRule="atLeast"/>
        </w:trPr>
        <w:tc>
          <w:tcPr>
            <w:tcW w:w="5076" w:type="dxa"/>
            <w:vAlign w:val="top"/>
          </w:tcPr>
          <w:p>
            <w:pPr>
              <w:pStyle w:val="220"/>
              <w:spacing w:before="227" w:line="184" w:lineRule="auto"/>
              <w:ind w:left="65"/>
              <w:rPr>
                <w:rFonts w:hint="eastAsia" w:ascii="宋体" w:hAnsi="宋体" w:eastAsia="宋体" w:cs="宋体"/>
                <w:b w:val="0"/>
                <w:bCs w:val="0"/>
                <w:kern w:val="2"/>
                <w:sz w:val="24"/>
                <w:szCs w:val="32"/>
                <w:lang w:val="en-US" w:eastAsia="zh-CN" w:bidi="ar-SA"/>
              </w:rPr>
            </w:pPr>
            <w:r>
              <w:rPr>
                <w:rFonts w:hint="eastAsia" w:ascii="宋体" w:hAnsi="宋体" w:eastAsia="宋体" w:cs="宋体"/>
                <w:b w:val="0"/>
                <w:bCs w:val="0"/>
                <w:kern w:val="2"/>
                <w:sz w:val="24"/>
                <w:szCs w:val="32"/>
                <w:lang w:val="en-US" w:eastAsia="zh-CN" w:bidi="ar-SA"/>
              </w:rPr>
              <w:t>P16、P18、P31、P33、P35、P39、P45、</w:t>
            </w:r>
          </w:p>
          <w:p>
            <w:pPr>
              <w:pStyle w:val="220"/>
              <w:spacing w:before="250" w:line="167" w:lineRule="auto"/>
              <w:ind w:left="175"/>
              <w:rPr>
                <w:rFonts w:hint="eastAsia" w:ascii="宋体" w:hAnsi="宋体" w:eastAsia="宋体" w:cs="宋体"/>
                <w:b w:val="0"/>
                <w:bCs w:val="0"/>
                <w:kern w:val="2"/>
                <w:sz w:val="24"/>
                <w:szCs w:val="32"/>
                <w:lang w:val="en-US" w:eastAsia="zh-CN" w:bidi="ar-SA"/>
              </w:rPr>
            </w:pPr>
            <w:r>
              <w:rPr>
                <w:rFonts w:hint="eastAsia" w:ascii="宋体" w:hAnsi="宋体" w:eastAsia="宋体" w:cs="宋体"/>
                <w:b w:val="0"/>
                <w:bCs w:val="0"/>
                <w:kern w:val="2"/>
                <w:sz w:val="24"/>
                <w:szCs w:val="32"/>
                <w:lang w:val="en-US" w:eastAsia="zh-CN" w:bidi="ar-SA"/>
              </w:rPr>
              <w:t>P51、P52、P56、P58、P59、P66、P68</w:t>
            </w:r>
          </w:p>
        </w:tc>
        <w:tc>
          <w:tcPr>
            <w:tcW w:w="4358" w:type="dxa"/>
            <w:vAlign w:val="top"/>
          </w:tcPr>
          <w:p>
            <w:pPr>
              <w:spacing w:line="276" w:lineRule="auto"/>
              <w:rPr>
                <w:rFonts w:hint="eastAsia" w:ascii="宋体" w:hAnsi="宋体" w:eastAsia="宋体" w:cs="宋体"/>
                <w:b w:val="0"/>
                <w:bCs w:val="0"/>
                <w:kern w:val="2"/>
                <w:sz w:val="24"/>
                <w:szCs w:val="32"/>
                <w:lang w:val="en-US" w:eastAsia="zh-CN" w:bidi="ar-SA"/>
              </w:rPr>
            </w:pPr>
          </w:p>
          <w:p>
            <w:pPr>
              <w:pStyle w:val="220"/>
              <w:spacing w:before="74" w:line="219" w:lineRule="auto"/>
              <w:ind w:left="1035"/>
              <w:rPr>
                <w:rFonts w:hint="eastAsia" w:ascii="宋体" w:hAnsi="宋体" w:eastAsia="宋体" w:cs="宋体"/>
                <w:b w:val="0"/>
                <w:bCs w:val="0"/>
                <w:kern w:val="2"/>
                <w:sz w:val="24"/>
                <w:szCs w:val="32"/>
                <w:lang w:val="en-US" w:eastAsia="zh-CN" w:bidi="ar-SA"/>
              </w:rPr>
            </w:pPr>
            <w:r>
              <w:rPr>
                <w:rFonts w:hint="eastAsia" w:ascii="宋体" w:hAnsi="宋体" w:eastAsia="宋体" w:cs="宋体"/>
                <w:b w:val="0"/>
                <w:bCs w:val="0"/>
                <w:kern w:val="2"/>
                <w:sz w:val="24"/>
                <w:szCs w:val="32"/>
                <w:lang w:val="en-US" w:eastAsia="zh-CN" w:bidi="ar-SA"/>
              </w:rPr>
              <w:t>检测结果RLU/CO&gt;6.0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2" w:hRule="atLeast"/>
        </w:trPr>
        <w:tc>
          <w:tcPr>
            <w:tcW w:w="5076" w:type="dxa"/>
            <w:vAlign w:val="top"/>
          </w:tcPr>
          <w:p>
            <w:pPr>
              <w:pStyle w:val="220"/>
              <w:spacing w:before="185" w:line="184" w:lineRule="auto"/>
              <w:ind w:left="1735"/>
              <w:rPr>
                <w:rFonts w:hint="eastAsia" w:ascii="宋体" w:hAnsi="宋体" w:eastAsia="宋体" w:cs="宋体"/>
                <w:b w:val="0"/>
                <w:bCs w:val="0"/>
                <w:kern w:val="2"/>
                <w:sz w:val="24"/>
                <w:szCs w:val="32"/>
                <w:lang w:val="en-US" w:eastAsia="zh-CN" w:bidi="ar-SA"/>
              </w:rPr>
            </w:pPr>
            <w:r>
              <w:rPr>
                <w:rFonts w:hint="eastAsia" w:ascii="宋体" w:hAnsi="宋体" w:eastAsia="宋体" w:cs="宋体"/>
                <w:b w:val="0"/>
                <w:bCs w:val="0"/>
                <w:kern w:val="2"/>
                <w:sz w:val="24"/>
                <w:szCs w:val="32"/>
                <w:lang w:val="en-US" w:eastAsia="zh-CN" w:bidi="ar-SA"/>
              </w:rPr>
              <w:t>N1-N15</w:t>
            </w:r>
          </w:p>
        </w:tc>
        <w:tc>
          <w:tcPr>
            <w:tcW w:w="4358" w:type="dxa"/>
            <w:vAlign w:val="top"/>
          </w:tcPr>
          <w:p>
            <w:pPr>
              <w:pStyle w:val="220"/>
              <w:spacing w:before="127" w:line="219" w:lineRule="auto"/>
              <w:ind w:left="1035"/>
              <w:rPr>
                <w:rFonts w:hint="eastAsia" w:ascii="宋体" w:hAnsi="宋体" w:eastAsia="宋体" w:cs="宋体"/>
                <w:b w:val="0"/>
                <w:bCs w:val="0"/>
                <w:kern w:val="2"/>
                <w:sz w:val="24"/>
                <w:szCs w:val="32"/>
                <w:lang w:val="en-US" w:eastAsia="zh-CN" w:bidi="ar-SA"/>
              </w:rPr>
            </w:pPr>
            <w:r>
              <w:rPr>
                <w:rFonts w:hint="eastAsia" w:ascii="宋体" w:hAnsi="宋体" w:eastAsia="宋体" w:cs="宋体"/>
                <w:b w:val="0"/>
                <w:bCs w:val="0"/>
                <w:kern w:val="2"/>
                <w:sz w:val="24"/>
                <w:szCs w:val="32"/>
                <w:lang w:val="en-US" w:eastAsia="zh-CN" w:bidi="ar-SA"/>
              </w:rPr>
              <w:t>检测结果RLU/CO&lt;1.0</w:t>
            </w:r>
          </w:p>
        </w:tc>
      </w:tr>
    </w:tbl>
    <w:p>
      <w:pPr>
        <w:jc w:val="left"/>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6、检测的HPV型别覆盖范围</w:t>
      </w:r>
    </w:p>
    <w:p>
      <w:pPr>
        <w:jc w:val="left"/>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   </w:t>
      </w:r>
      <w:r>
        <w:rPr>
          <w:rFonts w:hint="eastAsia" w:ascii="宋体" w:hAnsi="宋体" w:eastAsia="宋体" w:cs="宋体"/>
          <w:b w:val="0"/>
          <w:bCs w:val="0"/>
          <w:spacing w:val="5"/>
          <w:sz w:val="24"/>
          <w:szCs w:val="24"/>
        </w:rPr>
        <w:t xml:space="preserve"> </w:t>
      </w:r>
      <w:r>
        <w:rPr>
          <w:rFonts w:hint="eastAsia" w:ascii="宋体" w:hAnsi="宋体" w:eastAsia="宋体" w:cs="宋体"/>
          <w:b w:val="0"/>
          <w:bCs w:val="0"/>
          <w:spacing w:val="5"/>
          <w:sz w:val="24"/>
          <w:szCs w:val="24"/>
          <w:lang w:val="en-US" w:eastAsia="zh-CN"/>
        </w:rPr>
        <w:t>至少</w:t>
      </w:r>
      <w:r>
        <w:rPr>
          <w:rFonts w:hint="eastAsia" w:ascii="宋体" w:hAnsi="宋体" w:eastAsia="宋体" w:cs="宋体"/>
          <w:b w:val="0"/>
          <w:bCs w:val="0"/>
          <w:spacing w:val="5"/>
          <w:sz w:val="24"/>
          <w:szCs w:val="24"/>
        </w:rPr>
        <w:t>14种高危亚型16型、18型、31型、33型、35型、</w:t>
      </w:r>
      <w:r>
        <w:rPr>
          <w:rFonts w:hint="eastAsia" w:ascii="宋体" w:hAnsi="宋体" w:eastAsia="宋体" w:cs="宋体"/>
          <w:b w:val="0"/>
          <w:bCs w:val="0"/>
          <w:sz w:val="24"/>
          <w:szCs w:val="24"/>
        </w:rPr>
        <w:t xml:space="preserve"> </w:t>
      </w:r>
      <w:r>
        <w:rPr>
          <w:rFonts w:hint="eastAsia" w:ascii="宋体" w:hAnsi="宋体" w:eastAsia="宋体" w:cs="宋体"/>
          <w:b w:val="0"/>
          <w:bCs w:val="0"/>
          <w:spacing w:val="10"/>
          <w:sz w:val="24"/>
          <w:szCs w:val="24"/>
        </w:rPr>
        <w:t>39型、45型、51型、52型、56型、58型、59型、66型、6</w:t>
      </w:r>
      <w:r>
        <w:rPr>
          <w:rFonts w:hint="eastAsia" w:ascii="宋体" w:hAnsi="宋体" w:eastAsia="宋体" w:cs="宋体"/>
          <w:b w:val="0"/>
          <w:bCs w:val="0"/>
          <w:spacing w:val="9"/>
          <w:sz w:val="24"/>
          <w:szCs w:val="24"/>
        </w:rPr>
        <w:t>8型</w:t>
      </w:r>
    </w:p>
    <w:p>
      <w:pPr>
        <w:numPr>
          <w:ilvl w:val="0"/>
          <w:numId w:val="10"/>
        </w:numPr>
        <w:spacing w:line="360" w:lineRule="auto"/>
        <w:rPr>
          <w:rFonts w:hint="eastAsia" w:ascii="宋体" w:hAnsi="宋体" w:eastAsia="宋体" w:cs="Times New Roman"/>
          <w:b/>
          <w:sz w:val="28"/>
          <w:szCs w:val="20"/>
        </w:rPr>
      </w:pPr>
      <w:r>
        <w:rPr>
          <w:rFonts w:hint="eastAsia" w:ascii="宋体" w:hAnsi="宋体" w:eastAsia="宋体" w:cs="Times New Roman"/>
          <w:b/>
          <w:sz w:val="28"/>
          <w:szCs w:val="20"/>
        </w:rPr>
        <w:br w:type="page"/>
      </w:r>
    </w:p>
    <w:p>
      <w:pPr>
        <w:pStyle w:val="56"/>
        <w:numPr>
          <w:ilvl w:val="0"/>
          <w:numId w:val="0"/>
        </w:numPr>
        <w:spacing w:line="36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包件五：</w:t>
      </w:r>
    </w:p>
    <w:p>
      <w:pPr>
        <w:pStyle w:val="56"/>
        <w:numPr>
          <w:ilvl w:val="0"/>
          <w:numId w:val="11"/>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Times New Roman"/>
          <w:sz w:val="24"/>
          <w:szCs w:val="24"/>
          <w:lang w:val="en-US" w:eastAsia="zh-CN"/>
        </w:rPr>
        <w:t>项</w:t>
      </w:r>
      <w:r>
        <w:rPr>
          <w:rFonts w:hint="eastAsia" w:ascii="宋体" w:hAnsi="宋体" w:eastAsia="宋体" w:cs="宋体"/>
          <w:sz w:val="24"/>
          <w:szCs w:val="24"/>
          <w:lang w:val="en-US" w:eastAsia="zh-CN"/>
        </w:rPr>
        <w:t>目</w:t>
      </w:r>
      <w:r>
        <w:rPr>
          <w:rFonts w:hint="eastAsia" w:ascii="宋体" w:hAnsi="宋体" w:eastAsia="宋体" w:cs="宋体"/>
          <w:b w:val="0"/>
          <w:bCs w:val="0"/>
          <w:sz w:val="24"/>
          <w:szCs w:val="24"/>
        </w:rPr>
        <w:t>名称</w:t>
      </w:r>
      <w:r>
        <w:rPr>
          <w:rFonts w:hint="eastAsia" w:ascii="宋体" w:hAnsi="宋体" w:eastAsia="宋体"/>
          <w:b w:val="0"/>
          <w:bCs w:val="0"/>
          <w:sz w:val="24"/>
          <w:szCs w:val="24"/>
          <w:lang w:val="en-US" w:eastAsia="zh-CN"/>
        </w:rPr>
        <w:t>：全自动真菌细菌动态检测仪相关试剂</w:t>
      </w:r>
    </w:p>
    <w:p>
      <w:pPr>
        <w:pStyle w:val="56"/>
        <w:numPr>
          <w:ilvl w:val="0"/>
          <w:numId w:val="11"/>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6"/>
        <w:numPr>
          <w:ilvl w:val="0"/>
          <w:numId w:val="11"/>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6"/>
        <w:numPr>
          <w:ilvl w:val="0"/>
          <w:numId w:val="11"/>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pStyle w:val="56"/>
        <w:widowControl w:val="0"/>
        <w:numPr>
          <w:ilvl w:val="0"/>
          <w:numId w:val="11"/>
        </w:numPr>
        <w:spacing w:line="360" w:lineRule="auto"/>
        <w:ind w:left="-420" w:leftChars="0" w:firstLine="420" w:firstLineChars="0"/>
        <w:jc w:val="both"/>
        <w:rPr>
          <w:rFonts w:hint="eastAsia" w:ascii="宋体" w:hAnsi="宋体" w:eastAsia="宋体"/>
          <w:b w:val="0"/>
          <w:bCs w:val="0"/>
          <w:sz w:val="24"/>
          <w:szCs w:val="24"/>
          <w:lang w:eastAsia="zh-CN"/>
        </w:rPr>
      </w:pP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★投标人需响应医院SPD项目相关要求,并与上药医疗供应链管理(上海)有限公司签署相关SPD协议。</w:t>
      </w:r>
    </w:p>
    <w:tbl>
      <w:tblPr>
        <w:tblStyle w:val="32"/>
        <w:tblpPr w:leftFromText="180" w:rightFromText="180" w:vertAnchor="text" w:horzAnchor="page" w:tblpX="1410" w:tblpY="450"/>
        <w:tblOverlap w:val="never"/>
        <w:tblW w:w="9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346"/>
        <w:gridCol w:w="6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947" w:type="dxa"/>
            <w:noWrap w:val="0"/>
            <w:vAlign w:val="center"/>
          </w:tcPr>
          <w:p>
            <w:pPr>
              <w:adjustRightInd w:val="0"/>
              <w:snapToGrid w:val="0"/>
              <w:spacing w:line="400" w:lineRule="exact"/>
              <w:jc w:val="center"/>
              <w:rPr>
                <w:rFonts w:ascii="宋体" w:hAnsi="宋体" w:eastAsia="宋体" w:cs="宋体"/>
                <w:color w:val="000000"/>
                <w:sz w:val="24"/>
                <w:szCs w:val="24"/>
              </w:rPr>
            </w:pPr>
            <w:r>
              <w:rPr>
                <w:rFonts w:hint="eastAsia" w:ascii="Times New Roman" w:hAnsi="Times New Roman" w:eastAsia="宋体" w:cs="宋体"/>
                <w:color w:val="000000"/>
                <w:sz w:val="24"/>
                <w:szCs w:val="24"/>
              </w:rPr>
              <w:t>序号</w:t>
            </w:r>
          </w:p>
        </w:tc>
        <w:tc>
          <w:tcPr>
            <w:tcW w:w="1346" w:type="dxa"/>
            <w:noWrap w:val="0"/>
            <w:vAlign w:val="center"/>
          </w:tcPr>
          <w:p>
            <w:pPr>
              <w:adjustRightInd w:val="0"/>
              <w:snapToGrid w:val="0"/>
              <w:spacing w:line="400" w:lineRule="exact"/>
              <w:jc w:val="center"/>
              <w:rPr>
                <w:rFonts w:ascii="宋体" w:hAnsi="宋体" w:eastAsia="宋体" w:cs="宋体"/>
                <w:color w:val="000000"/>
                <w:sz w:val="24"/>
                <w:szCs w:val="24"/>
              </w:rPr>
            </w:pPr>
            <w:r>
              <w:rPr>
                <w:rFonts w:hint="eastAsia" w:ascii="Times New Roman" w:hAnsi="Times New Roman" w:eastAsia="宋体" w:cs="宋体"/>
                <w:color w:val="000000"/>
                <w:sz w:val="24"/>
                <w:szCs w:val="24"/>
              </w:rPr>
              <w:t>名称</w:t>
            </w:r>
          </w:p>
        </w:tc>
        <w:tc>
          <w:tcPr>
            <w:tcW w:w="6984" w:type="dxa"/>
            <w:noWrap w:val="0"/>
            <w:vAlign w:val="center"/>
          </w:tcPr>
          <w:p>
            <w:pPr>
              <w:adjustRightInd w:val="0"/>
              <w:snapToGrid w:val="0"/>
              <w:spacing w:line="400" w:lineRule="exact"/>
              <w:jc w:val="center"/>
              <w:rPr>
                <w:rFonts w:ascii="宋体" w:hAnsi="宋体" w:eastAsia="宋体" w:cs="宋体"/>
                <w:color w:val="000000"/>
                <w:sz w:val="24"/>
                <w:szCs w:val="24"/>
              </w:rPr>
            </w:pPr>
            <w:r>
              <w:rPr>
                <w:rFonts w:hint="eastAsia" w:ascii="Times New Roman" w:hAnsi="Times New Roman" w:eastAsia="宋体" w:cs="宋体"/>
                <w:color w:val="000000"/>
                <w:sz w:val="24"/>
                <w:szCs w:val="24"/>
              </w:rPr>
              <w:t>技术规格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2" w:hRule="atLeast"/>
        </w:trPr>
        <w:tc>
          <w:tcPr>
            <w:tcW w:w="947" w:type="dxa"/>
            <w:noWrap w:val="0"/>
            <w:vAlign w:val="center"/>
          </w:tcPr>
          <w:p>
            <w:pPr>
              <w:numPr>
                <w:ilvl w:val="0"/>
                <w:numId w:val="12"/>
              </w:numPr>
              <w:adjustRightInd w:val="0"/>
              <w:snapToGrid w:val="0"/>
              <w:spacing w:line="400" w:lineRule="exact"/>
              <w:ind w:left="425" w:leftChars="0" w:hanging="425" w:firstLineChars="0"/>
              <w:jc w:val="center"/>
              <w:rPr>
                <w:rFonts w:ascii="宋体" w:hAnsi="宋体" w:eastAsia="宋体" w:cs="宋体"/>
                <w:color w:val="000000"/>
                <w:sz w:val="24"/>
                <w:szCs w:val="24"/>
              </w:rPr>
            </w:pPr>
          </w:p>
        </w:tc>
        <w:tc>
          <w:tcPr>
            <w:tcW w:w="1346" w:type="dxa"/>
            <w:noWrap w:val="0"/>
            <w:vAlign w:val="center"/>
          </w:tcPr>
          <w:p>
            <w:pPr>
              <w:adjustRightInd w:val="0"/>
              <w:snapToGrid w:val="0"/>
              <w:spacing w:line="400" w:lineRule="exact"/>
              <w:jc w:val="center"/>
              <w:rPr>
                <w:rFonts w:ascii="宋体" w:hAnsi="宋体" w:eastAsia="宋体" w:cs="宋体"/>
                <w:color w:val="000000"/>
                <w:sz w:val="24"/>
                <w:szCs w:val="24"/>
              </w:rPr>
            </w:pPr>
            <w:r>
              <w:rPr>
                <w:rFonts w:hint="eastAsia" w:ascii="Times New Roman" w:hAnsi="Times New Roman" w:eastAsia="宋体" w:cs="宋体"/>
                <w:color w:val="000000"/>
                <w:sz w:val="24"/>
                <w:szCs w:val="24"/>
              </w:rPr>
              <w:t>用途</w:t>
            </w:r>
          </w:p>
        </w:tc>
        <w:tc>
          <w:tcPr>
            <w:tcW w:w="6984" w:type="dxa"/>
            <w:noWrap w:val="0"/>
            <w:vAlign w:val="center"/>
          </w:tcPr>
          <w:p>
            <w:pPr>
              <w:adjustRightInd w:val="0"/>
              <w:snapToGrid w:val="0"/>
              <w:spacing w:line="400" w:lineRule="exact"/>
              <w:jc w:val="left"/>
              <w:rPr>
                <w:rFonts w:ascii="Times New Roman" w:hAnsi="Times New Roman" w:eastAsia="宋体" w:cs="宋体"/>
                <w:color w:val="000000"/>
                <w:sz w:val="24"/>
                <w:szCs w:val="24"/>
              </w:rPr>
            </w:pPr>
            <w:r>
              <w:rPr>
                <w:rFonts w:hint="eastAsia" w:ascii="Times New Roman" w:hAnsi="Times New Roman" w:eastAsia="宋体" w:cs="宋体"/>
                <w:color w:val="000000"/>
                <w:sz w:val="24"/>
                <w:szCs w:val="24"/>
              </w:rPr>
              <w:t>真菌D-葡聚糖检测：</w:t>
            </w:r>
          </w:p>
          <w:p>
            <w:pPr>
              <w:adjustRightInd w:val="0"/>
              <w:snapToGrid w:val="0"/>
              <w:spacing w:line="400" w:lineRule="exact"/>
              <w:jc w:val="left"/>
              <w:rPr>
                <w:rFonts w:ascii="Times New Roman" w:hAnsi="Times New Roman" w:eastAsia="宋体" w:cs="宋体"/>
                <w:color w:val="000000"/>
                <w:sz w:val="24"/>
                <w:szCs w:val="24"/>
              </w:rPr>
            </w:pPr>
            <w:r>
              <w:rPr>
                <w:rFonts w:hint="eastAsia" w:ascii="Times New Roman" w:hAnsi="Times New Roman" w:eastAsia="宋体" w:cs="宋体"/>
                <w:color w:val="000000"/>
                <w:sz w:val="24"/>
                <w:szCs w:val="24"/>
              </w:rPr>
              <w:t>1. 可检测标本中真菌（1-3）-</w:t>
            </w:r>
            <w:r>
              <w:rPr>
                <w:rFonts w:ascii="Times New Roman" w:hAnsi="Times New Roman" w:eastAsia="宋体" w:cs="Times New Roman"/>
                <w:color w:val="000000"/>
                <w:sz w:val="24"/>
                <w:szCs w:val="24"/>
              </w:rPr>
              <w:t>β</w:t>
            </w:r>
            <w:r>
              <w:rPr>
                <w:rFonts w:hint="eastAsia" w:ascii="Times New Roman" w:hAnsi="Times New Roman" w:eastAsia="宋体" w:cs="宋体"/>
                <w:color w:val="000000"/>
                <w:sz w:val="24"/>
                <w:szCs w:val="24"/>
              </w:rPr>
              <w:t>-D葡聚糖的含量。</w:t>
            </w:r>
          </w:p>
          <w:p>
            <w:pPr>
              <w:adjustRightInd w:val="0"/>
              <w:snapToGrid w:val="0"/>
              <w:spacing w:line="400" w:lineRule="exact"/>
              <w:jc w:val="left"/>
              <w:rPr>
                <w:rFonts w:ascii="Times New Roman" w:hAnsi="Times New Roman" w:eastAsia="宋体" w:cs="宋体"/>
                <w:color w:val="000000"/>
                <w:sz w:val="24"/>
                <w:szCs w:val="24"/>
              </w:rPr>
            </w:pPr>
            <w:r>
              <w:rPr>
                <w:rFonts w:hint="eastAsia" w:ascii="Times New Roman" w:hAnsi="Times New Roman" w:eastAsia="宋体" w:cs="宋体"/>
                <w:color w:val="000000"/>
                <w:sz w:val="24"/>
                <w:szCs w:val="24"/>
              </w:rPr>
              <w:t>2. 用于辅助诊断临床难以确诊的侵袭性真菌感染。</w:t>
            </w:r>
          </w:p>
          <w:p>
            <w:pPr>
              <w:adjustRightInd w:val="0"/>
              <w:snapToGrid w:val="0"/>
              <w:spacing w:line="400" w:lineRule="exact"/>
              <w:jc w:val="left"/>
              <w:rPr>
                <w:rFonts w:ascii="Times New Roman" w:hAnsi="Times New Roman" w:eastAsia="宋体" w:cs="宋体"/>
                <w:color w:val="000000"/>
                <w:sz w:val="24"/>
                <w:szCs w:val="24"/>
              </w:rPr>
            </w:pPr>
            <w:r>
              <w:rPr>
                <w:rFonts w:hint="eastAsia" w:ascii="Times New Roman" w:hAnsi="Times New Roman" w:eastAsia="宋体" w:cs="宋体"/>
                <w:color w:val="000000"/>
                <w:sz w:val="24"/>
                <w:szCs w:val="24"/>
              </w:rPr>
              <w:t>内毒素鲎定量测定：</w:t>
            </w:r>
          </w:p>
          <w:p>
            <w:pPr>
              <w:adjustRightInd w:val="0"/>
              <w:snapToGrid w:val="0"/>
              <w:spacing w:line="400" w:lineRule="exact"/>
              <w:jc w:val="left"/>
              <w:rPr>
                <w:rFonts w:ascii="Times New Roman" w:hAnsi="Times New Roman" w:eastAsia="宋体" w:cs="宋体"/>
                <w:color w:val="000000"/>
                <w:sz w:val="24"/>
                <w:szCs w:val="24"/>
              </w:rPr>
            </w:pPr>
            <w:r>
              <w:rPr>
                <w:rFonts w:hint="eastAsia" w:ascii="Times New Roman" w:hAnsi="Times New Roman" w:eastAsia="宋体" w:cs="宋体"/>
                <w:color w:val="000000"/>
                <w:sz w:val="24"/>
                <w:szCs w:val="24"/>
              </w:rPr>
              <w:t>1. 可检测标本中革兰阴性菌脂多糖的含量。</w:t>
            </w:r>
          </w:p>
          <w:p>
            <w:pPr>
              <w:adjustRightInd w:val="0"/>
              <w:snapToGrid w:val="0"/>
              <w:spacing w:line="400" w:lineRule="exact"/>
              <w:jc w:val="left"/>
              <w:rPr>
                <w:rFonts w:ascii="宋体" w:hAnsi="宋体" w:eastAsia="宋体" w:cs="宋体"/>
                <w:color w:val="000000"/>
                <w:sz w:val="24"/>
                <w:szCs w:val="24"/>
              </w:rPr>
            </w:pPr>
            <w:r>
              <w:rPr>
                <w:rFonts w:hint="eastAsia" w:ascii="Times New Roman" w:hAnsi="Times New Roman" w:eastAsia="宋体" w:cs="宋体"/>
                <w:color w:val="000000"/>
                <w:sz w:val="24"/>
                <w:szCs w:val="24"/>
              </w:rPr>
              <w:t>2. 用于临床辅助诊断革兰阴性菌的感染。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 w:hRule="atLeast"/>
        </w:trPr>
        <w:tc>
          <w:tcPr>
            <w:tcW w:w="947" w:type="dxa"/>
            <w:noWrap w:val="0"/>
            <w:vAlign w:val="center"/>
          </w:tcPr>
          <w:p>
            <w:pPr>
              <w:numPr>
                <w:ilvl w:val="0"/>
                <w:numId w:val="12"/>
              </w:numPr>
              <w:adjustRightInd w:val="0"/>
              <w:snapToGrid w:val="0"/>
              <w:spacing w:line="400" w:lineRule="exact"/>
              <w:ind w:left="425" w:leftChars="0" w:hanging="425" w:firstLineChars="0"/>
              <w:jc w:val="center"/>
              <w:rPr>
                <w:rFonts w:ascii="宋体" w:hAnsi="宋体" w:eastAsia="宋体" w:cs="宋体"/>
                <w:color w:val="000000"/>
                <w:sz w:val="24"/>
                <w:szCs w:val="24"/>
              </w:rPr>
            </w:pPr>
          </w:p>
        </w:tc>
        <w:tc>
          <w:tcPr>
            <w:tcW w:w="1346" w:type="dxa"/>
            <w:noWrap w:val="0"/>
            <w:vAlign w:val="center"/>
          </w:tcPr>
          <w:p>
            <w:pPr>
              <w:adjustRightInd w:val="0"/>
              <w:snapToGrid w:val="0"/>
              <w:spacing w:line="400" w:lineRule="exact"/>
              <w:jc w:val="center"/>
              <w:rPr>
                <w:rFonts w:ascii="宋体" w:hAnsi="宋体" w:eastAsia="宋体" w:cs="宋体"/>
                <w:color w:val="000000"/>
                <w:sz w:val="24"/>
                <w:szCs w:val="24"/>
              </w:rPr>
            </w:pPr>
            <w:r>
              <w:rPr>
                <w:rFonts w:hint="eastAsia" w:ascii="Times New Roman" w:hAnsi="Times New Roman" w:eastAsia="宋体" w:cs="宋体"/>
                <w:color w:val="000000"/>
                <w:sz w:val="24"/>
                <w:szCs w:val="24"/>
              </w:rPr>
              <w:t>检测原理</w:t>
            </w:r>
          </w:p>
        </w:tc>
        <w:tc>
          <w:tcPr>
            <w:tcW w:w="6984" w:type="dxa"/>
            <w:noWrap w:val="0"/>
            <w:vAlign w:val="center"/>
          </w:tcPr>
          <w:p>
            <w:pPr>
              <w:adjustRightInd w:val="0"/>
              <w:snapToGrid w:val="0"/>
              <w:spacing w:line="400" w:lineRule="exact"/>
              <w:jc w:val="left"/>
              <w:rPr>
                <w:rFonts w:ascii="宋体" w:hAnsi="宋体" w:eastAsia="宋体" w:cs="宋体"/>
                <w:color w:val="000000"/>
                <w:sz w:val="24"/>
                <w:szCs w:val="24"/>
              </w:rPr>
            </w:pPr>
            <w:r>
              <w:rPr>
                <w:rFonts w:hint="eastAsia" w:ascii="Times New Roman" w:hAnsi="Times New Roman" w:eastAsia="宋体" w:cs="宋体"/>
                <w:color w:val="000000"/>
                <w:sz w:val="24"/>
                <w:szCs w:val="24"/>
              </w:rPr>
              <w:t>显色法（快速、动态、定量）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 w:hRule="atLeast"/>
        </w:trPr>
        <w:tc>
          <w:tcPr>
            <w:tcW w:w="947" w:type="dxa"/>
            <w:noWrap w:val="0"/>
            <w:vAlign w:val="center"/>
          </w:tcPr>
          <w:p>
            <w:pPr>
              <w:numPr>
                <w:ilvl w:val="0"/>
                <w:numId w:val="12"/>
              </w:numPr>
              <w:adjustRightInd w:val="0"/>
              <w:snapToGrid w:val="0"/>
              <w:spacing w:line="400" w:lineRule="exact"/>
              <w:ind w:left="425" w:leftChars="0" w:hanging="425" w:firstLineChars="0"/>
              <w:jc w:val="center"/>
              <w:rPr>
                <w:rFonts w:ascii="宋体" w:hAnsi="宋体" w:eastAsia="宋体" w:cs="宋体"/>
                <w:color w:val="000000"/>
                <w:sz w:val="24"/>
                <w:szCs w:val="24"/>
              </w:rPr>
            </w:pPr>
          </w:p>
        </w:tc>
        <w:tc>
          <w:tcPr>
            <w:tcW w:w="1346" w:type="dxa"/>
            <w:noWrap w:val="0"/>
            <w:vAlign w:val="center"/>
          </w:tcPr>
          <w:p>
            <w:pPr>
              <w:adjustRightInd w:val="0"/>
              <w:snapToGrid w:val="0"/>
              <w:spacing w:line="400" w:lineRule="exact"/>
              <w:jc w:val="center"/>
              <w:rPr>
                <w:rFonts w:ascii="宋体" w:hAnsi="宋体" w:eastAsia="宋体" w:cs="宋体"/>
                <w:color w:val="000000"/>
                <w:sz w:val="24"/>
                <w:szCs w:val="24"/>
              </w:rPr>
            </w:pPr>
            <w:r>
              <w:rPr>
                <w:rFonts w:hint="eastAsia" w:ascii="Times New Roman" w:hAnsi="Times New Roman" w:eastAsia="宋体" w:cs="宋体"/>
                <w:color w:val="000000"/>
                <w:sz w:val="24"/>
                <w:szCs w:val="24"/>
              </w:rPr>
              <w:t>反应温度</w:t>
            </w:r>
          </w:p>
        </w:tc>
        <w:tc>
          <w:tcPr>
            <w:tcW w:w="6984" w:type="dxa"/>
            <w:noWrap w:val="0"/>
            <w:vAlign w:val="center"/>
          </w:tcPr>
          <w:p>
            <w:pPr>
              <w:adjustRightInd w:val="0"/>
              <w:snapToGrid w:val="0"/>
              <w:spacing w:line="400" w:lineRule="exact"/>
              <w:jc w:val="left"/>
              <w:rPr>
                <w:rFonts w:ascii="宋体" w:hAnsi="宋体" w:eastAsia="宋体" w:cs="宋体"/>
                <w:color w:val="000000"/>
                <w:sz w:val="24"/>
                <w:szCs w:val="24"/>
              </w:rPr>
            </w:pPr>
            <w:r>
              <w:rPr>
                <w:rFonts w:hint="eastAsia" w:ascii="Times New Roman" w:hAnsi="Times New Roman" w:eastAsia="宋体" w:cs="宋体"/>
                <w:color w:val="000000"/>
                <w:sz w:val="24"/>
                <w:szCs w:val="24"/>
              </w:rPr>
              <w:t xml:space="preserve">（37.0 </w:t>
            </w:r>
            <w:r>
              <w:rPr>
                <w:rFonts w:ascii="Times New Roman" w:hAnsi="Times New Roman" w:eastAsia="宋体" w:cs="Times New Roman"/>
                <w:color w:val="000000"/>
                <w:sz w:val="24"/>
                <w:szCs w:val="24"/>
              </w:rPr>
              <w:t>±</w:t>
            </w:r>
            <w:r>
              <w:rPr>
                <w:rFonts w:hint="eastAsia" w:ascii="Times New Roman" w:hAnsi="Times New Roman" w:eastAsia="宋体" w:cs="宋体"/>
                <w:color w:val="000000"/>
                <w:sz w:val="24"/>
                <w:szCs w:val="24"/>
              </w:rPr>
              <w:t xml:space="preserve"> 0.5）</w:t>
            </w:r>
            <w:r>
              <w:rPr>
                <w:rFonts w:ascii="Times New Roman" w:hAnsi="Times New Roman" w:eastAsia="宋体" w:cs="Times New Roman"/>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 w:hRule="atLeast"/>
        </w:trPr>
        <w:tc>
          <w:tcPr>
            <w:tcW w:w="947" w:type="dxa"/>
            <w:noWrap w:val="0"/>
            <w:vAlign w:val="center"/>
          </w:tcPr>
          <w:p>
            <w:pPr>
              <w:numPr>
                <w:ilvl w:val="0"/>
                <w:numId w:val="12"/>
              </w:numPr>
              <w:adjustRightInd w:val="0"/>
              <w:snapToGrid w:val="0"/>
              <w:spacing w:line="400" w:lineRule="exact"/>
              <w:ind w:left="425" w:leftChars="0" w:hanging="425" w:firstLineChars="0"/>
              <w:jc w:val="center"/>
              <w:rPr>
                <w:rFonts w:ascii="宋体" w:hAnsi="宋体" w:eastAsia="宋体" w:cs="宋体"/>
                <w:color w:val="000000"/>
                <w:sz w:val="24"/>
                <w:szCs w:val="24"/>
              </w:rPr>
            </w:pPr>
          </w:p>
        </w:tc>
        <w:tc>
          <w:tcPr>
            <w:tcW w:w="1346" w:type="dxa"/>
            <w:noWrap w:val="0"/>
            <w:vAlign w:val="center"/>
          </w:tcPr>
          <w:p>
            <w:pPr>
              <w:adjustRightInd w:val="0"/>
              <w:snapToGrid w:val="0"/>
              <w:spacing w:line="400" w:lineRule="exact"/>
              <w:jc w:val="center"/>
              <w:rPr>
                <w:rFonts w:ascii="宋体" w:hAnsi="宋体" w:eastAsia="宋体" w:cs="宋体"/>
                <w:color w:val="000000"/>
                <w:sz w:val="24"/>
                <w:szCs w:val="24"/>
              </w:rPr>
            </w:pPr>
            <w:r>
              <w:rPr>
                <w:rFonts w:hint="eastAsia" w:ascii="Times New Roman" w:hAnsi="Times New Roman" w:eastAsia="宋体" w:cs="宋体"/>
                <w:color w:val="000000"/>
                <w:sz w:val="24"/>
                <w:szCs w:val="24"/>
              </w:rPr>
              <w:t>试管孔径</w:t>
            </w:r>
          </w:p>
        </w:tc>
        <w:tc>
          <w:tcPr>
            <w:tcW w:w="6984" w:type="dxa"/>
            <w:noWrap w:val="0"/>
            <w:vAlign w:val="center"/>
          </w:tcPr>
          <w:p>
            <w:pPr>
              <w:adjustRightInd w:val="0"/>
              <w:snapToGrid w:val="0"/>
              <w:spacing w:line="400" w:lineRule="exact"/>
              <w:jc w:val="left"/>
              <w:rPr>
                <w:rFonts w:ascii="宋体" w:hAnsi="宋体" w:eastAsia="宋体" w:cs="宋体"/>
                <w:color w:val="000000"/>
                <w:sz w:val="24"/>
                <w:szCs w:val="24"/>
              </w:rPr>
            </w:pPr>
            <w:r>
              <w:rPr>
                <w:rFonts w:ascii="Times New Roman" w:hAnsi="Times New Roman" w:eastAsia="宋体" w:cs="Times New Roman"/>
                <w:color w:val="000000"/>
                <w:sz w:val="24"/>
                <w:szCs w:val="24"/>
              </w:rPr>
              <w:t>Φ</w:t>
            </w:r>
            <w:r>
              <w:rPr>
                <w:rFonts w:hint="eastAsia" w:ascii="Times New Roman" w:hAnsi="Times New Roman" w:eastAsia="宋体" w:cs="宋体"/>
                <w:color w:val="000000"/>
                <w:sz w:val="24"/>
                <w:szCs w:val="24"/>
              </w:rPr>
              <w:t>9.0 mm</w:t>
            </w:r>
            <w:r>
              <w:rPr>
                <w:rFonts w:ascii="Times New Roman" w:hAnsi="Times New Roman" w:eastAsia="宋体" w:cs="Times New Roman"/>
                <w:color w:val="000000"/>
                <w:sz w:val="24"/>
                <w:szCs w:val="24"/>
              </w:rPr>
              <w:t>～Φ</w:t>
            </w:r>
            <w:r>
              <w:rPr>
                <w:rFonts w:hint="eastAsia" w:ascii="Times New Roman" w:hAnsi="Times New Roman" w:eastAsia="宋体" w:cs="宋体"/>
                <w:color w:val="000000"/>
                <w:sz w:val="24"/>
                <w:szCs w:val="24"/>
              </w:rPr>
              <w:t>10.0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 w:hRule="atLeast"/>
        </w:trPr>
        <w:tc>
          <w:tcPr>
            <w:tcW w:w="947" w:type="dxa"/>
            <w:noWrap w:val="0"/>
            <w:vAlign w:val="center"/>
          </w:tcPr>
          <w:p>
            <w:pPr>
              <w:numPr>
                <w:ilvl w:val="0"/>
                <w:numId w:val="12"/>
              </w:numPr>
              <w:adjustRightInd w:val="0"/>
              <w:snapToGrid w:val="0"/>
              <w:spacing w:line="400" w:lineRule="exact"/>
              <w:ind w:left="425" w:leftChars="0" w:hanging="425" w:firstLineChars="0"/>
              <w:jc w:val="center"/>
              <w:rPr>
                <w:rFonts w:ascii="宋体" w:hAnsi="宋体" w:eastAsia="宋体" w:cs="宋体"/>
                <w:color w:val="000000"/>
                <w:sz w:val="24"/>
                <w:szCs w:val="24"/>
              </w:rPr>
            </w:pPr>
          </w:p>
        </w:tc>
        <w:tc>
          <w:tcPr>
            <w:tcW w:w="1346" w:type="dxa"/>
            <w:noWrap w:val="0"/>
            <w:vAlign w:val="center"/>
          </w:tcPr>
          <w:p>
            <w:pPr>
              <w:adjustRightInd w:val="0"/>
              <w:snapToGrid w:val="0"/>
              <w:spacing w:line="400" w:lineRule="exact"/>
              <w:jc w:val="center"/>
              <w:rPr>
                <w:rFonts w:ascii="宋体" w:hAnsi="宋体" w:eastAsia="宋体" w:cs="宋体"/>
                <w:color w:val="000000"/>
                <w:sz w:val="24"/>
                <w:szCs w:val="24"/>
              </w:rPr>
            </w:pPr>
            <w:r>
              <w:rPr>
                <w:rFonts w:hint="eastAsia" w:ascii="Times New Roman" w:hAnsi="Times New Roman" w:eastAsia="宋体" w:cs="宋体"/>
                <w:color w:val="000000"/>
                <w:sz w:val="24"/>
                <w:szCs w:val="24"/>
              </w:rPr>
              <w:t>最小样本量</w:t>
            </w:r>
          </w:p>
        </w:tc>
        <w:tc>
          <w:tcPr>
            <w:tcW w:w="6984" w:type="dxa"/>
            <w:noWrap w:val="0"/>
            <w:vAlign w:val="center"/>
          </w:tcPr>
          <w:p>
            <w:pPr>
              <w:adjustRightInd w:val="0"/>
              <w:snapToGrid w:val="0"/>
              <w:spacing w:line="400" w:lineRule="exact"/>
              <w:jc w:val="left"/>
              <w:rPr>
                <w:rFonts w:ascii="宋体" w:hAnsi="宋体" w:eastAsia="宋体" w:cs="宋体"/>
                <w:color w:val="000000"/>
                <w:sz w:val="24"/>
                <w:szCs w:val="24"/>
              </w:rPr>
            </w:pPr>
            <w:r>
              <w:rPr>
                <w:rFonts w:hint="eastAsia" w:ascii="Times New Roman" w:hAnsi="Times New Roman" w:eastAsia="宋体" w:cs="宋体"/>
                <w:color w:val="000000"/>
                <w:sz w:val="24"/>
                <w:szCs w:val="24"/>
              </w:rPr>
              <w:t xml:space="preserve">10 </w:t>
            </w:r>
            <w:r>
              <w:rPr>
                <w:rFonts w:ascii="Times New Roman" w:hAnsi="Times New Roman" w:eastAsia="宋体" w:cs="Times New Roman"/>
                <w:color w:val="000000"/>
                <w:sz w:val="24"/>
                <w:szCs w:val="24"/>
              </w:rPr>
              <w:t>μl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947" w:type="dxa"/>
            <w:noWrap w:val="0"/>
            <w:vAlign w:val="center"/>
          </w:tcPr>
          <w:p>
            <w:pPr>
              <w:numPr>
                <w:ilvl w:val="0"/>
                <w:numId w:val="12"/>
              </w:numPr>
              <w:adjustRightInd w:val="0"/>
              <w:snapToGrid w:val="0"/>
              <w:spacing w:line="400" w:lineRule="exact"/>
              <w:ind w:left="425" w:leftChars="0" w:hanging="425" w:firstLineChars="0"/>
              <w:jc w:val="center"/>
              <w:rPr>
                <w:rFonts w:ascii="宋体" w:hAnsi="宋体" w:eastAsia="宋体" w:cs="宋体"/>
                <w:color w:val="000000"/>
                <w:sz w:val="24"/>
                <w:szCs w:val="24"/>
              </w:rPr>
            </w:pPr>
          </w:p>
        </w:tc>
        <w:tc>
          <w:tcPr>
            <w:tcW w:w="1346" w:type="dxa"/>
            <w:noWrap w:val="0"/>
            <w:vAlign w:val="center"/>
          </w:tcPr>
          <w:p>
            <w:pPr>
              <w:adjustRightInd w:val="0"/>
              <w:snapToGrid w:val="0"/>
              <w:spacing w:line="400" w:lineRule="exact"/>
              <w:jc w:val="center"/>
              <w:rPr>
                <w:rFonts w:ascii="宋体" w:hAnsi="宋体" w:eastAsia="宋体" w:cs="宋体"/>
                <w:color w:val="000000"/>
                <w:sz w:val="24"/>
                <w:szCs w:val="24"/>
              </w:rPr>
            </w:pPr>
            <w:r>
              <w:rPr>
                <w:rFonts w:hint="eastAsia" w:ascii="Times New Roman" w:hAnsi="Times New Roman" w:eastAsia="宋体" w:cs="宋体"/>
                <w:color w:val="000000"/>
                <w:sz w:val="24"/>
                <w:szCs w:val="24"/>
              </w:rPr>
              <w:t>检测时间</w:t>
            </w:r>
          </w:p>
        </w:tc>
        <w:tc>
          <w:tcPr>
            <w:tcW w:w="6984" w:type="dxa"/>
            <w:noWrap w:val="0"/>
            <w:vAlign w:val="center"/>
          </w:tcPr>
          <w:p>
            <w:pPr>
              <w:adjustRightInd w:val="0"/>
              <w:snapToGrid w:val="0"/>
              <w:spacing w:line="400" w:lineRule="exact"/>
              <w:jc w:val="left"/>
              <w:rPr>
                <w:rFonts w:ascii="宋体" w:hAnsi="宋体" w:eastAsia="宋体" w:cs="宋体"/>
                <w:color w:val="000000"/>
                <w:sz w:val="24"/>
                <w:szCs w:val="24"/>
              </w:rPr>
            </w:pPr>
            <w:r>
              <w:rPr>
                <w:rFonts w:hint="eastAsia" w:ascii="Times New Roman" w:hAnsi="Times New Roman" w:eastAsia="宋体" w:cs="宋体"/>
                <w:color w:val="000000"/>
                <w:sz w:val="24"/>
                <w:szCs w:val="24"/>
              </w:rPr>
              <w:t>3600s～5400s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trPr>
        <w:tc>
          <w:tcPr>
            <w:tcW w:w="947" w:type="dxa"/>
            <w:noWrap w:val="0"/>
            <w:vAlign w:val="center"/>
          </w:tcPr>
          <w:p>
            <w:pPr>
              <w:numPr>
                <w:ilvl w:val="0"/>
                <w:numId w:val="12"/>
              </w:numPr>
              <w:adjustRightInd w:val="0"/>
              <w:snapToGrid w:val="0"/>
              <w:spacing w:line="400" w:lineRule="exact"/>
              <w:ind w:left="425" w:leftChars="0" w:hanging="425" w:firstLineChars="0"/>
              <w:jc w:val="center"/>
              <w:rPr>
                <w:rFonts w:ascii="宋体" w:hAnsi="宋体" w:eastAsia="宋体" w:cs="宋体"/>
                <w:color w:val="000000"/>
                <w:sz w:val="24"/>
                <w:szCs w:val="24"/>
              </w:rPr>
            </w:pPr>
          </w:p>
        </w:tc>
        <w:tc>
          <w:tcPr>
            <w:tcW w:w="1346" w:type="dxa"/>
            <w:noWrap w:val="0"/>
            <w:vAlign w:val="center"/>
          </w:tcPr>
          <w:p>
            <w:pPr>
              <w:spacing w:line="400" w:lineRule="exact"/>
              <w:jc w:val="center"/>
              <w:rPr>
                <w:rFonts w:ascii="宋体" w:hAnsi="宋体" w:eastAsia="宋体" w:cs="宋体"/>
                <w:color w:val="000000"/>
                <w:sz w:val="24"/>
                <w:szCs w:val="24"/>
              </w:rPr>
            </w:pPr>
            <w:r>
              <w:rPr>
                <w:rFonts w:hint="eastAsia" w:ascii="Times New Roman" w:hAnsi="Times New Roman" w:eastAsia="宋体" w:cs="宋体"/>
                <w:color w:val="000000"/>
                <w:kern w:val="0"/>
                <w:sz w:val="24"/>
                <w:szCs w:val="24"/>
              </w:rPr>
              <w:t>试剂组成</w:t>
            </w:r>
          </w:p>
        </w:tc>
        <w:tc>
          <w:tcPr>
            <w:tcW w:w="6984" w:type="dxa"/>
            <w:noWrap w:val="0"/>
            <w:vAlign w:val="center"/>
          </w:tcPr>
          <w:p>
            <w:pPr>
              <w:adjustRightInd w:val="0"/>
              <w:snapToGrid w:val="0"/>
              <w:spacing w:line="400" w:lineRule="exact"/>
              <w:jc w:val="left"/>
              <w:rPr>
                <w:rFonts w:ascii="宋体" w:hAnsi="宋体" w:eastAsia="宋体" w:cs="宋体"/>
                <w:color w:val="000000"/>
                <w:sz w:val="24"/>
                <w:szCs w:val="24"/>
              </w:rPr>
            </w:pPr>
            <w:r>
              <w:rPr>
                <w:rFonts w:hint="eastAsia" w:ascii="Times New Roman" w:hAnsi="Times New Roman" w:eastAsia="宋体" w:cs="宋体"/>
                <w:color w:val="000000"/>
                <w:sz w:val="24"/>
                <w:szCs w:val="24"/>
              </w:rPr>
              <w:t>处理液A、处理液B、反应主剂（白色冻干粉末）、主剂溶解液（无色透明液体）、质控品（白色冻干粉末）、质控溶解液（无色透明液体）。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947" w:type="dxa"/>
            <w:noWrap w:val="0"/>
            <w:vAlign w:val="center"/>
          </w:tcPr>
          <w:p>
            <w:pPr>
              <w:numPr>
                <w:ilvl w:val="0"/>
                <w:numId w:val="12"/>
              </w:numPr>
              <w:adjustRightInd w:val="0"/>
              <w:snapToGrid w:val="0"/>
              <w:spacing w:line="400" w:lineRule="exact"/>
              <w:ind w:left="425" w:leftChars="0" w:hanging="425" w:firstLineChars="0"/>
              <w:jc w:val="center"/>
              <w:rPr>
                <w:rFonts w:ascii="宋体" w:hAnsi="宋体" w:eastAsia="宋体" w:cs="宋体"/>
                <w:color w:val="000000"/>
                <w:sz w:val="24"/>
                <w:szCs w:val="24"/>
              </w:rPr>
            </w:pPr>
          </w:p>
        </w:tc>
        <w:tc>
          <w:tcPr>
            <w:tcW w:w="1346" w:type="dxa"/>
            <w:noWrap w:val="0"/>
            <w:vAlign w:val="center"/>
          </w:tcPr>
          <w:p>
            <w:pPr>
              <w:adjustRightInd w:val="0"/>
              <w:snapToGrid w:val="0"/>
              <w:spacing w:line="400" w:lineRule="exact"/>
              <w:jc w:val="center"/>
              <w:rPr>
                <w:rFonts w:ascii="宋体" w:hAnsi="宋体" w:eastAsia="宋体" w:cs="宋体"/>
                <w:color w:val="000000"/>
                <w:sz w:val="24"/>
                <w:szCs w:val="24"/>
              </w:rPr>
            </w:pPr>
            <w:r>
              <w:rPr>
                <w:rFonts w:hint="eastAsia" w:ascii="Times New Roman" w:hAnsi="Times New Roman" w:eastAsia="宋体" w:cs="宋体"/>
                <w:color w:val="000000"/>
                <w:sz w:val="24"/>
                <w:szCs w:val="24"/>
              </w:rPr>
              <w:t>检测标本</w:t>
            </w:r>
          </w:p>
        </w:tc>
        <w:tc>
          <w:tcPr>
            <w:tcW w:w="6984" w:type="dxa"/>
            <w:noWrap w:val="0"/>
            <w:vAlign w:val="center"/>
          </w:tcPr>
          <w:p>
            <w:pPr>
              <w:adjustRightInd w:val="0"/>
              <w:snapToGrid w:val="0"/>
              <w:spacing w:line="400" w:lineRule="exact"/>
              <w:jc w:val="left"/>
              <w:rPr>
                <w:rFonts w:ascii="宋体" w:hAnsi="宋体" w:eastAsia="宋体" w:cs="宋体"/>
                <w:color w:val="000000"/>
                <w:sz w:val="24"/>
                <w:szCs w:val="24"/>
              </w:rPr>
            </w:pPr>
            <w:r>
              <w:rPr>
                <w:rFonts w:hint="eastAsia" w:ascii="Times New Roman" w:hAnsi="Times New Roman" w:eastAsia="宋体" w:cs="宋体"/>
                <w:color w:val="000000"/>
                <w:sz w:val="24"/>
                <w:szCs w:val="24"/>
              </w:rPr>
              <w:t>至少血清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947" w:type="dxa"/>
            <w:noWrap w:val="0"/>
            <w:vAlign w:val="center"/>
          </w:tcPr>
          <w:p>
            <w:pPr>
              <w:numPr>
                <w:ilvl w:val="0"/>
                <w:numId w:val="12"/>
              </w:numPr>
              <w:adjustRightInd w:val="0"/>
              <w:snapToGrid w:val="0"/>
              <w:spacing w:line="400" w:lineRule="exact"/>
              <w:ind w:left="425" w:leftChars="0" w:hanging="425" w:firstLineChars="0"/>
              <w:jc w:val="center"/>
              <w:rPr>
                <w:rFonts w:ascii="宋体" w:hAnsi="宋体" w:eastAsia="宋体" w:cs="宋体"/>
                <w:color w:val="000000"/>
                <w:sz w:val="24"/>
                <w:szCs w:val="24"/>
              </w:rPr>
            </w:pPr>
          </w:p>
        </w:tc>
        <w:tc>
          <w:tcPr>
            <w:tcW w:w="1346" w:type="dxa"/>
            <w:noWrap w:val="0"/>
            <w:vAlign w:val="center"/>
          </w:tcPr>
          <w:p>
            <w:pPr>
              <w:spacing w:line="400" w:lineRule="exact"/>
              <w:jc w:val="center"/>
              <w:rPr>
                <w:rFonts w:ascii="宋体" w:hAnsi="宋体" w:eastAsia="宋体" w:cs="宋体"/>
                <w:color w:val="000000"/>
                <w:sz w:val="24"/>
                <w:szCs w:val="24"/>
              </w:rPr>
            </w:pPr>
            <w:r>
              <w:rPr>
                <w:rFonts w:hint="eastAsia" w:ascii="Times New Roman" w:hAnsi="Times New Roman" w:eastAsia="宋体" w:cs="宋体"/>
                <w:color w:val="000000"/>
                <w:kern w:val="0"/>
                <w:sz w:val="24"/>
                <w:szCs w:val="24"/>
              </w:rPr>
              <w:t>检测范围</w:t>
            </w:r>
          </w:p>
        </w:tc>
        <w:tc>
          <w:tcPr>
            <w:tcW w:w="6984" w:type="dxa"/>
            <w:noWrap w:val="0"/>
            <w:vAlign w:val="center"/>
          </w:tcPr>
          <w:p>
            <w:pPr>
              <w:adjustRightInd w:val="0"/>
              <w:snapToGrid w:val="0"/>
              <w:spacing w:line="400" w:lineRule="exact"/>
              <w:jc w:val="left"/>
              <w:rPr>
                <w:rFonts w:ascii="Times New Roman" w:hAnsi="Times New Roman" w:eastAsia="宋体" w:cs="宋体"/>
                <w:color w:val="000000"/>
                <w:sz w:val="24"/>
                <w:szCs w:val="24"/>
              </w:rPr>
            </w:pPr>
            <w:r>
              <w:rPr>
                <w:rFonts w:hint="eastAsia" w:ascii="Times New Roman" w:hAnsi="Times New Roman" w:eastAsia="宋体" w:cs="宋体"/>
                <w:color w:val="000000"/>
                <w:sz w:val="24"/>
                <w:szCs w:val="24"/>
              </w:rPr>
              <w:t>真菌（1-3）--D葡聚糖测定范围：</w:t>
            </w:r>
          </w:p>
          <w:p>
            <w:pPr>
              <w:adjustRightInd w:val="0"/>
              <w:snapToGrid w:val="0"/>
              <w:spacing w:line="400" w:lineRule="exact"/>
              <w:jc w:val="left"/>
              <w:rPr>
                <w:rFonts w:ascii="Times New Roman" w:hAnsi="Times New Roman" w:eastAsia="宋体" w:cs="宋体"/>
                <w:color w:val="000000"/>
                <w:sz w:val="24"/>
                <w:szCs w:val="24"/>
              </w:rPr>
            </w:pPr>
            <w:r>
              <w:rPr>
                <w:rFonts w:hint="eastAsia" w:ascii="Times New Roman" w:hAnsi="Times New Roman" w:eastAsia="宋体" w:cs="宋体"/>
                <w:color w:val="000000"/>
                <w:sz w:val="24"/>
                <w:szCs w:val="24"/>
              </w:rPr>
              <w:t>31.25 pg/ml～500 pg/ml；</w:t>
            </w:r>
          </w:p>
          <w:p>
            <w:pPr>
              <w:adjustRightInd w:val="0"/>
              <w:snapToGrid w:val="0"/>
              <w:spacing w:line="400" w:lineRule="exact"/>
              <w:jc w:val="left"/>
              <w:rPr>
                <w:rFonts w:ascii="宋体" w:hAnsi="宋体" w:eastAsia="宋体" w:cs="宋体"/>
                <w:color w:val="000000"/>
                <w:sz w:val="24"/>
                <w:szCs w:val="24"/>
              </w:rPr>
            </w:pPr>
            <w:r>
              <w:rPr>
                <w:rFonts w:hint="eastAsia" w:ascii="Times New Roman" w:hAnsi="Times New Roman" w:eastAsia="宋体" w:cs="宋体"/>
                <w:color w:val="000000"/>
                <w:sz w:val="24"/>
                <w:szCs w:val="24"/>
              </w:rPr>
              <w:t>内毒素鲎定量测定（革兰阴性菌脂多糖测定）范围：          0.8 pg/ml～500 pg/ml；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947" w:type="dxa"/>
            <w:noWrap w:val="0"/>
            <w:vAlign w:val="center"/>
          </w:tcPr>
          <w:p>
            <w:pPr>
              <w:numPr>
                <w:ilvl w:val="0"/>
                <w:numId w:val="12"/>
              </w:numPr>
              <w:adjustRightInd w:val="0"/>
              <w:snapToGrid w:val="0"/>
              <w:spacing w:line="400" w:lineRule="exact"/>
              <w:ind w:left="425" w:leftChars="0" w:hanging="425" w:firstLineChars="0"/>
              <w:jc w:val="center"/>
              <w:rPr>
                <w:rFonts w:ascii="宋体" w:hAnsi="宋体" w:eastAsia="宋体" w:cs="宋体"/>
                <w:color w:val="000000"/>
                <w:sz w:val="24"/>
                <w:szCs w:val="24"/>
              </w:rPr>
            </w:pPr>
          </w:p>
        </w:tc>
        <w:tc>
          <w:tcPr>
            <w:tcW w:w="1346" w:type="dxa"/>
            <w:noWrap w:val="0"/>
            <w:vAlign w:val="center"/>
          </w:tcPr>
          <w:p>
            <w:pPr>
              <w:adjustRightInd w:val="0"/>
              <w:snapToGrid w:val="0"/>
              <w:spacing w:line="400" w:lineRule="exact"/>
              <w:jc w:val="center"/>
              <w:rPr>
                <w:rFonts w:ascii="宋体" w:hAnsi="宋体" w:eastAsia="宋体" w:cs="宋体"/>
                <w:color w:val="000000"/>
                <w:sz w:val="24"/>
                <w:szCs w:val="24"/>
              </w:rPr>
            </w:pPr>
            <w:r>
              <w:rPr>
                <w:rFonts w:hint="eastAsia" w:ascii="Times New Roman" w:hAnsi="Times New Roman" w:eastAsia="宋体" w:cs="宋体"/>
                <w:color w:val="000000"/>
                <w:sz w:val="24"/>
                <w:szCs w:val="24"/>
              </w:rPr>
              <w:t>线性相关系数</w:t>
            </w:r>
          </w:p>
        </w:tc>
        <w:tc>
          <w:tcPr>
            <w:tcW w:w="6984" w:type="dxa"/>
            <w:noWrap w:val="0"/>
            <w:vAlign w:val="center"/>
          </w:tcPr>
          <w:p>
            <w:pPr>
              <w:adjustRightInd w:val="0"/>
              <w:snapToGrid w:val="0"/>
              <w:spacing w:line="400" w:lineRule="exact"/>
              <w:jc w:val="left"/>
              <w:rPr>
                <w:rFonts w:ascii="宋体" w:hAnsi="宋体" w:eastAsia="宋体" w:cs="宋体"/>
                <w:color w:val="000000"/>
                <w:sz w:val="24"/>
                <w:szCs w:val="24"/>
              </w:rPr>
            </w:pPr>
            <w:r>
              <w:rPr>
                <w:rFonts w:hint="eastAsia" w:ascii="Times New Roman" w:hAnsi="Times New Roman" w:eastAsia="宋体" w:cs="宋体"/>
                <w:color w:val="000000"/>
                <w:sz w:val="24"/>
                <w:szCs w:val="24"/>
              </w:rPr>
              <w:t>|r| ≥ 0.980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trPr>
        <w:tc>
          <w:tcPr>
            <w:tcW w:w="947" w:type="dxa"/>
            <w:noWrap w:val="0"/>
            <w:vAlign w:val="center"/>
          </w:tcPr>
          <w:p>
            <w:pPr>
              <w:numPr>
                <w:ilvl w:val="0"/>
                <w:numId w:val="12"/>
              </w:numPr>
              <w:adjustRightInd w:val="0"/>
              <w:snapToGrid w:val="0"/>
              <w:spacing w:line="400" w:lineRule="exact"/>
              <w:ind w:left="425" w:leftChars="0" w:hanging="425" w:firstLineChars="0"/>
              <w:jc w:val="center"/>
              <w:rPr>
                <w:rFonts w:ascii="宋体" w:hAnsi="宋体" w:eastAsia="宋体" w:cs="宋体"/>
                <w:color w:val="000000"/>
                <w:sz w:val="24"/>
                <w:szCs w:val="24"/>
              </w:rPr>
            </w:pPr>
          </w:p>
        </w:tc>
        <w:tc>
          <w:tcPr>
            <w:tcW w:w="1346" w:type="dxa"/>
            <w:noWrap w:val="0"/>
            <w:vAlign w:val="center"/>
          </w:tcPr>
          <w:p>
            <w:pPr>
              <w:adjustRightInd w:val="0"/>
              <w:snapToGrid w:val="0"/>
              <w:spacing w:line="400" w:lineRule="exact"/>
              <w:jc w:val="center"/>
              <w:rPr>
                <w:rFonts w:ascii="宋体" w:hAnsi="宋体" w:eastAsia="宋体" w:cs="宋体"/>
                <w:color w:val="000000"/>
                <w:sz w:val="24"/>
                <w:szCs w:val="24"/>
              </w:rPr>
            </w:pPr>
            <w:r>
              <w:rPr>
                <w:rFonts w:hint="eastAsia" w:ascii="Times New Roman" w:hAnsi="Times New Roman" w:eastAsia="宋体" w:cs="宋体"/>
                <w:color w:val="000000"/>
                <w:sz w:val="24"/>
                <w:szCs w:val="24"/>
              </w:rPr>
              <w:t>准确性</w:t>
            </w:r>
          </w:p>
        </w:tc>
        <w:tc>
          <w:tcPr>
            <w:tcW w:w="6984" w:type="dxa"/>
            <w:noWrap w:val="0"/>
            <w:vAlign w:val="center"/>
          </w:tcPr>
          <w:p>
            <w:pPr>
              <w:adjustRightInd w:val="0"/>
              <w:snapToGrid w:val="0"/>
              <w:spacing w:line="400" w:lineRule="exact"/>
              <w:jc w:val="left"/>
              <w:rPr>
                <w:rFonts w:ascii="宋体" w:hAnsi="宋体" w:eastAsia="宋体" w:cs="宋体"/>
                <w:color w:val="000000"/>
                <w:sz w:val="24"/>
                <w:szCs w:val="24"/>
              </w:rPr>
            </w:pPr>
            <w:r>
              <w:rPr>
                <w:rFonts w:hint="eastAsia" w:ascii="Times New Roman" w:hAnsi="Times New Roman" w:eastAsia="宋体" w:cs="宋体"/>
                <w:color w:val="000000"/>
                <w:sz w:val="24"/>
                <w:szCs w:val="24"/>
              </w:rPr>
              <w:t>回收率75%～125%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947" w:type="dxa"/>
            <w:noWrap w:val="0"/>
            <w:vAlign w:val="center"/>
          </w:tcPr>
          <w:p>
            <w:pPr>
              <w:numPr>
                <w:ilvl w:val="0"/>
                <w:numId w:val="12"/>
              </w:numPr>
              <w:adjustRightInd w:val="0"/>
              <w:snapToGrid w:val="0"/>
              <w:spacing w:line="400" w:lineRule="exact"/>
              <w:ind w:left="425" w:leftChars="0" w:hanging="425" w:firstLineChars="0"/>
              <w:jc w:val="center"/>
              <w:rPr>
                <w:rFonts w:ascii="宋体" w:hAnsi="宋体" w:eastAsia="宋体" w:cs="宋体"/>
                <w:color w:val="000000"/>
                <w:sz w:val="24"/>
                <w:szCs w:val="24"/>
              </w:rPr>
            </w:pPr>
          </w:p>
        </w:tc>
        <w:tc>
          <w:tcPr>
            <w:tcW w:w="1346" w:type="dxa"/>
            <w:noWrap w:val="0"/>
            <w:vAlign w:val="center"/>
          </w:tcPr>
          <w:p>
            <w:pPr>
              <w:spacing w:line="400" w:lineRule="exact"/>
              <w:jc w:val="center"/>
              <w:rPr>
                <w:rFonts w:ascii="宋体" w:hAnsi="宋体" w:eastAsia="宋体" w:cs="宋体"/>
                <w:color w:val="000000"/>
                <w:sz w:val="24"/>
                <w:szCs w:val="24"/>
              </w:rPr>
            </w:pPr>
            <w:r>
              <w:rPr>
                <w:rFonts w:hint="eastAsia" w:ascii="Times New Roman" w:hAnsi="Times New Roman" w:eastAsia="宋体" w:cs="宋体"/>
                <w:color w:val="000000"/>
                <w:kern w:val="0"/>
                <w:sz w:val="24"/>
                <w:szCs w:val="24"/>
              </w:rPr>
              <w:t>重复性</w:t>
            </w:r>
          </w:p>
        </w:tc>
        <w:tc>
          <w:tcPr>
            <w:tcW w:w="6984" w:type="dxa"/>
            <w:noWrap w:val="0"/>
            <w:vAlign w:val="center"/>
          </w:tcPr>
          <w:p>
            <w:pPr>
              <w:adjustRightInd w:val="0"/>
              <w:snapToGrid w:val="0"/>
              <w:spacing w:line="400" w:lineRule="exact"/>
              <w:jc w:val="left"/>
              <w:rPr>
                <w:rFonts w:ascii="宋体" w:hAnsi="宋体" w:eastAsia="宋体" w:cs="宋体"/>
                <w:color w:val="000000"/>
                <w:sz w:val="24"/>
                <w:szCs w:val="24"/>
              </w:rPr>
            </w:pPr>
            <w:r>
              <w:rPr>
                <w:rFonts w:hint="eastAsia" w:ascii="Times New Roman" w:hAnsi="Times New Roman" w:eastAsia="宋体" w:cs="宋体"/>
                <w:color w:val="000000"/>
                <w:sz w:val="24"/>
                <w:szCs w:val="24"/>
              </w:rPr>
              <w:t>同一批号内CV≤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947" w:type="dxa"/>
            <w:noWrap w:val="0"/>
            <w:vAlign w:val="center"/>
          </w:tcPr>
          <w:p>
            <w:pPr>
              <w:numPr>
                <w:ilvl w:val="0"/>
                <w:numId w:val="12"/>
              </w:numPr>
              <w:adjustRightInd w:val="0"/>
              <w:snapToGrid w:val="0"/>
              <w:spacing w:line="400" w:lineRule="exact"/>
              <w:ind w:left="425" w:leftChars="0" w:hanging="425" w:firstLineChars="0"/>
              <w:jc w:val="center"/>
              <w:rPr>
                <w:rFonts w:ascii="宋体" w:hAnsi="宋体" w:eastAsia="宋体" w:cs="宋体"/>
                <w:color w:val="000000"/>
                <w:sz w:val="24"/>
                <w:szCs w:val="24"/>
              </w:rPr>
            </w:pPr>
          </w:p>
        </w:tc>
        <w:tc>
          <w:tcPr>
            <w:tcW w:w="1346" w:type="dxa"/>
            <w:noWrap w:val="0"/>
            <w:vAlign w:val="center"/>
          </w:tcPr>
          <w:p>
            <w:pPr>
              <w:spacing w:line="400" w:lineRule="exact"/>
              <w:jc w:val="center"/>
              <w:rPr>
                <w:rFonts w:ascii="宋体" w:hAnsi="宋体" w:eastAsia="宋体" w:cs="宋体"/>
                <w:color w:val="000000"/>
                <w:sz w:val="24"/>
                <w:szCs w:val="24"/>
              </w:rPr>
            </w:pPr>
            <w:r>
              <w:rPr>
                <w:rFonts w:hint="eastAsia" w:ascii="Times New Roman" w:hAnsi="Times New Roman" w:eastAsia="宋体" w:cs="宋体"/>
                <w:color w:val="000000"/>
                <w:kern w:val="0"/>
                <w:sz w:val="24"/>
                <w:szCs w:val="24"/>
              </w:rPr>
              <w:t>特异性</w:t>
            </w:r>
          </w:p>
        </w:tc>
        <w:tc>
          <w:tcPr>
            <w:tcW w:w="6984" w:type="dxa"/>
            <w:noWrap w:val="0"/>
            <w:vAlign w:val="center"/>
          </w:tcPr>
          <w:p>
            <w:pPr>
              <w:spacing w:line="400" w:lineRule="exact"/>
              <w:jc w:val="left"/>
              <w:rPr>
                <w:rFonts w:ascii="宋体" w:hAnsi="宋体" w:eastAsia="宋体" w:cs="宋体"/>
                <w:color w:val="000000"/>
                <w:sz w:val="24"/>
                <w:szCs w:val="24"/>
              </w:rPr>
            </w:pPr>
            <w:r>
              <w:rPr>
                <w:rFonts w:hint="eastAsia" w:ascii="Times New Roman" w:hAnsi="Times New Roman" w:eastAsia="宋体" w:cs="宋体"/>
                <w:color w:val="000000"/>
                <w:kern w:val="0"/>
                <w:sz w:val="24"/>
                <w:szCs w:val="24"/>
              </w:rPr>
              <w:t>交叉反应率≤2%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947" w:type="dxa"/>
            <w:noWrap w:val="0"/>
            <w:vAlign w:val="center"/>
          </w:tcPr>
          <w:p>
            <w:pPr>
              <w:numPr>
                <w:ilvl w:val="0"/>
                <w:numId w:val="12"/>
              </w:numPr>
              <w:adjustRightInd w:val="0"/>
              <w:snapToGrid w:val="0"/>
              <w:spacing w:line="400" w:lineRule="exact"/>
              <w:ind w:left="425" w:leftChars="0" w:hanging="425" w:firstLineChars="0"/>
              <w:jc w:val="center"/>
              <w:rPr>
                <w:rFonts w:ascii="宋体" w:hAnsi="宋体" w:eastAsia="宋体" w:cs="宋体"/>
                <w:color w:val="000000"/>
                <w:sz w:val="24"/>
                <w:szCs w:val="24"/>
              </w:rPr>
            </w:pPr>
          </w:p>
        </w:tc>
        <w:tc>
          <w:tcPr>
            <w:tcW w:w="1346" w:type="dxa"/>
            <w:noWrap w:val="0"/>
            <w:vAlign w:val="center"/>
          </w:tcPr>
          <w:p>
            <w:pPr>
              <w:spacing w:line="400" w:lineRule="exact"/>
              <w:jc w:val="center"/>
              <w:rPr>
                <w:rFonts w:ascii="宋体" w:hAnsi="宋体" w:eastAsia="宋体" w:cs="宋体"/>
                <w:color w:val="000000"/>
                <w:sz w:val="24"/>
                <w:szCs w:val="24"/>
              </w:rPr>
            </w:pPr>
            <w:r>
              <w:rPr>
                <w:rFonts w:hint="eastAsia" w:ascii="Times New Roman" w:hAnsi="Times New Roman" w:eastAsia="宋体" w:cs="宋体"/>
                <w:color w:val="000000"/>
                <w:kern w:val="0"/>
                <w:sz w:val="24"/>
                <w:szCs w:val="24"/>
              </w:rPr>
              <w:t>稳定性</w:t>
            </w:r>
          </w:p>
        </w:tc>
        <w:tc>
          <w:tcPr>
            <w:tcW w:w="6984" w:type="dxa"/>
            <w:noWrap w:val="0"/>
            <w:vAlign w:val="center"/>
          </w:tcPr>
          <w:p>
            <w:pPr>
              <w:spacing w:line="400" w:lineRule="exact"/>
              <w:jc w:val="left"/>
              <w:rPr>
                <w:rFonts w:ascii="宋体" w:hAnsi="宋体" w:eastAsia="宋体" w:cs="宋体"/>
                <w:color w:val="000000"/>
                <w:sz w:val="24"/>
                <w:szCs w:val="24"/>
              </w:rPr>
            </w:pPr>
            <w:r>
              <w:rPr>
                <w:rFonts w:hint="eastAsia" w:ascii="Times New Roman" w:hAnsi="Times New Roman" w:eastAsia="宋体" w:cs="宋体"/>
                <w:color w:val="000000"/>
                <w:kern w:val="0"/>
                <w:sz w:val="24"/>
                <w:szCs w:val="24"/>
              </w:rPr>
              <w:t>试剂盒2-8</w:t>
            </w:r>
            <w:r>
              <w:rPr>
                <w:rFonts w:ascii="Times New Roman" w:hAnsi="Times New Roman" w:eastAsia="宋体" w:cs="Times New Roman"/>
                <w:color w:val="000000"/>
                <w:kern w:val="0"/>
                <w:sz w:val="24"/>
                <w:szCs w:val="24"/>
              </w:rPr>
              <w:t>℃</w:t>
            </w:r>
            <w:r>
              <w:rPr>
                <w:rFonts w:hint="eastAsia" w:ascii="Times New Roman" w:hAnsi="Times New Roman" w:eastAsia="宋体" w:cs="宋体"/>
                <w:color w:val="000000"/>
                <w:kern w:val="0"/>
                <w:sz w:val="24"/>
                <w:szCs w:val="24"/>
              </w:rPr>
              <w:t>储存，出厂有效期36个月，贮存期末的分析性能应符合性能指标的要求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947" w:type="dxa"/>
            <w:noWrap w:val="0"/>
            <w:vAlign w:val="center"/>
          </w:tcPr>
          <w:p>
            <w:pPr>
              <w:numPr>
                <w:ilvl w:val="0"/>
                <w:numId w:val="12"/>
              </w:numPr>
              <w:adjustRightInd w:val="0"/>
              <w:snapToGrid w:val="0"/>
              <w:spacing w:line="400" w:lineRule="exact"/>
              <w:ind w:left="425" w:leftChars="0" w:hanging="425" w:firstLineChars="0"/>
              <w:jc w:val="center"/>
              <w:rPr>
                <w:rFonts w:ascii="宋体" w:hAnsi="宋体" w:eastAsia="宋体" w:cs="宋体"/>
                <w:color w:val="000000"/>
                <w:sz w:val="24"/>
                <w:szCs w:val="24"/>
              </w:rPr>
            </w:pPr>
          </w:p>
        </w:tc>
        <w:tc>
          <w:tcPr>
            <w:tcW w:w="1346" w:type="dxa"/>
            <w:noWrap w:val="0"/>
            <w:vAlign w:val="center"/>
          </w:tcPr>
          <w:p>
            <w:pPr>
              <w:spacing w:line="400" w:lineRule="exact"/>
              <w:jc w:val="center"/>
              <w:rPr>
                <w:rFonts w:ascii="宋体" w:hAnsi="宋体" w:eastAsia="宋体" w:cs="宋体"/>
                <w:color w:val="000000"/>
                <w:sz w:val="24"/>
                <w:szCs w:val="24"/>
              </w:rPr>
            </w:pPr>
            <w:r>
              <w:rPr>
                <w:rFonts w:hint="eastAsia" w:ascii="Times New Roman" w:hAnsi="Times New Roman" w:eastAsia="宋体" w:cs="宋体"/>
                <w:color w:val="000000"/>
                <w:kern w:val="0"/>
                <w:sz w:val="24"/>
                <w:szCs w:val="24"/>
              </w:rPr>
              <w:t>批间差</w:t>
            </w:r>
          </w:p>
        </w:tc>
        <w:tc>
          <w:tcPr>
            <w:tcW w:w="6984" w:type="dxa"/>
            <w:noWrap w:val="0"/>
            <w:vAlign w:val="center"/>
          </w:tcPr>
          <w:p>
            <w:pPr>
              <w:spacing w:line="400" w:lineRule="exact"/>
              <w:jc w:val="left"/>
              <w:rPr>
                <w:rFonts w:ascii="宋体" w:hAnsi="宋体" w:eastAsia="宋体" w:cs="宋体"/>
                <w:color w:val="000000"/>
                <w:sz w:val="24"/>
                <w:szCs w:val="24"/>
              </w:rPr>
            </w:pPr>
            <w:r>
              <w:rPr>
                <w:rFonts w:hint="eastAsia" w:ascii="Times New Roman" w:hAnsi="Times New Roman" w:eastAsia="宋体" w:cs="宋体"/>
                <w:color w:val="000000"/>
                <w:sz w:val="24"/>
                <w:szCs w:val="24"/>
              </w:rPr>
              <w:t>不同批号间相对偏差≤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947" w:type="dxa"/>
            <w:noWrap w:val="0"/>
            <w:vAlign w:val="center"/>
          </w:tcPr>
          <w:p>
            <w:pPr>
              <w:numPr>
                <w:ilvl w:val="0"/>
                <w:numId w:val="12"/>
              </w:numPr>
              <w:adjustRightInd w:val="0"/>
              <w:snapToGrid w:val="0"/>
              <w:spacing w:line="400" w:lineRule="exact"/>
              <w:ind w:left="425" w:leftChars="0" w:hanging="425" w:firstLineChars="0"/>
              <w:jc w:val="center"/>
              <w:rPr>
                <w:rFonts w:ascii="宋体" w:hAnsi="宋体" w:eastAsia="宋体" w:cs="宋体"/>
                <w:color w:val="000000"/>
                <w:sz w:val="24"/>
                <w:szCs w:val="24"/>
              </w:rPr>
            </w:pPr>
          </w:p>
        </w:tc>
        <w:tc>
          <w:tcPr>
            <w:tcW w:w="1346" w:type="dxa"/>
            <w:noWrap w:val="0"/>
            <w:vAlign w:val="center"/>
          </w:tcPr>
          <w:p>
            <w:pPr>
              <w:spacing w:line="400" w:lineRule="exact"/>
              <w:jc w:val="center"/>
              <w:rPr>
                <w:rFonts w:ascii="宋体" w:hAnsi="宋体" w:eastAsia="宋体" w:cs="宋体"/>
                <w:color w:val="000000"/>
                <w:sz w:val="24"/>
                <w:szCs w:val="24"/>
              </w:rPr>
            </w:pPr>
            <w:r>
              <w:rPr>
                <w:rFonts w:hint="eastAsia" w:ascii="Times New Roman" w:hAnsi="Times New Roman" w:eastAsia="宋体" w:cs="宋体"/>
                <w:color w:val="000000"/>
                <w:kern w:val="0"/>
                <w:sz w:val="24"/>
                <w:szCs w:val="24"/>
              </w:rPr>
              <w:t>空白检测限</w:t>
            </w:r>
          </w:p>
        </w:tc>
        <w:tc>
          <w:tcPr>
            <w:tcW w:w="6984" w:type="dxa"/>
            <w:noWrap w:val="0"/>
            <w:vAlign w:val="center"/>
          </w:tcPr>
          <w:p>
            <w:pPr>
              <w:adjustRightInd w:val="0"/>
              <w:snapToGrid w:val="0"/>
              <w:spacing w:line="400" w:lineRule="exact"/>
              <w:jc w:val="left"/>
              <w:rPr>
                <w:rFonts w:ascii="Times New Roman" w:hAnsi="Times New Roman" w:eastAsia="宋体" w:cs="宋体"/>
                <w:color w:val="000000"/>
                <w:kern w:val="0"/>
                <w:sz w:val="24"/>
                <w:szCs w:val="24"/>
              </w:rPr>
            </w:pPr>
            <w:r>
              <w:rPr>
                <w:rFonts w:hint="eastAsia" w:ascii="Times New Roman" w:hAnsi="Times New Roman" w:eastAsia="宋体" w:cs="宋体"/>
                <w:color w:val="000000"/>
                <w:sz w:val="24"/>
                <w:szCs w:val="24"/>
              </w:rPr>
              <w:t>真菌D-葡聚糖检测：</w:t>
            </w:r>
            <w:r>
              <w:rPr>
                <w:rFonts w:hint="eastAsia" w:ascii="Times New Roman" w:hAnsi="Times New Roman" w:eastAsia="宋体" w:cs="宋体"/>
                <w:color w:val="000000"/>
                <w:kern w:val="0"/>
                <w:sz w:val="24"/>
                <w:szCs w:val="24"/>
              </w:rPr>
              <w:t>10 pg/ml；</w:t>
            </w:r>
          </w:p>
          <w:p>
            <w:pPr>
              <w:adjustRightInd w:val="0"/>
              <w:snapToGrid w:val="0"/>
              <w:spacing w:line="400" w:lineRule="exact"/>
              <w:jc w:val="left"/>
              <w:rPr>
                <w:rFonts w:ascii="宋体" w:hAnsi="宋体" w:eastAsia="宋体" w:cs="宋体"/>
                <w:color w:val="000000"/>
                <w:sz w:val="24"/>
                <w:szCs w:val="24"/>
              </w:rPr>
            </w:pPr>
            <w:r>
              <w:rPr>
                <w:rFonts w:hint="eastAsia" w:ascii="Times New Roman" w:hAnsi="Times New Roman" w:eastAsia="宋体" w:cs="宋体"/>
                <w:color w:val="000000"/>
                <w:sz w:val="24"/>
                <w:szCs w:val="24"/>
              </w:rPr>
              <w:t>内毒素鲎定量测定（革兰阴性菌脂多糖测定）：</w:t>
            </w:r>
            <w:r>
              <w:rPr>
                <w:rFonts w:hint="eastAsia" w:ascii="Times New Roman" w:hAnsi="Times New Roman" w:eastAsia="宋体" w:cs="宋体"/>
                <w:color w:val="000000"/>
                <w:kern w:val="0"/>
                <w:sz w:val="24"/>
                <w:szCs w:val="24"/>
              </w:rPr>
              <w:t>1 pg/ml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947" w:type="dxa"/>
            <w:noWrap w:val="0"/>
            <w:vAlign w:val="center"/>
          </w:tcPr>
          <w:p>
            <w:pPr>
              <w:numPr>
                <w:ilvl w:val="0"/>
                <w:numId w:val="12"/>
              </w:numPr>
              <w:adjustRightInd w:val="0"/>
              <w:snapToGrid w:val="0"/>
              <w:spacing w:line="400" w:lineRule="exact"/>
              <w:ind w:left="425" w:leftChars="0" w:hanging="425" w:firstLineChars="0"/>
              <w:jc w:val="center"/>
              <w:rPr>
                <w:rFonts w:ascii="宋体" w:hAnsi="宋体" w:eastAsia="宋体" w:cs="宋体"/>
                <w:color w:val="000000"/>
                <w:sz w:val="24"/>
                <w:szCs w:val="24"/>
              </w:rPr>
            </w:pPr>
          </w:p>
        </w:tc>
        <w:tc>
          <w:tcPr>
            <w:tcW w:w="1346" w:type="dxa"/>
            <w:noWrap w:val="0"/>
            <w:vAlign w:val="center"/>
          </w:tcPr>
          <w:p>
            <w:pPr>
              <w:spacing w:line="400" w:lineRule="exact"/>
              <w:jc w:val="center"/>
              <w:rPr>
                <w:rFonts w:ascii="宋体" w:hAnsi="宋体" w:eastAsia="宋体" w:cs="宋体"/>
                <w:color w:val="000000"/>
                <w:sz w:val="24"/>
                <w:szCs w:val="24"/>
              </w:rPr>
            </w:pPr>
            <w:r>
              <w:rPr>
                <w:rFonts w:hint="eastAsia" w:ascii="Times New Roman" w:hAnsi="Times New Roman" w:eastAsia="宋体" w:cs="宋体"/>
                <w:color w:val="000000"/>
                <w:kern w:val="0"/>
                <w:sz w:val="24"/>
                <w:szCs w:val="24"/>
              </w:rPr>
              <w:t>质控品范围</w:t>
            </w:r>
          </w:p>
        </w:tc>
        <w:tc>
          <w:tcPr>
            <w:tcW w:w="6984" w:type="dxa"/>
            <w:noWrap w:val="0"/>
            <w:vAlign w:val="center"/>
          </w:tcPr>
          <w:p>
            <w:pPr>
              <w:adjustRightInd w:val="0"/>
              <w:snapToGrid w:val="0"/>
              <w:spacing w:line="400" w:lineRule="exact"/>
              <w:jc w:val="left"/>
              <w:rPr>
                <w:rFonts w:ascii="Times New Roman" w:hAnsi="Times New Roman" w:eastAsia="宋体" w:cs="宋体"/>
                <w:color w:val="000000"/>
                <w:sz w:val="24"/>
                <w:szCs w:val="24"/>
              </w:rPr>
            </w:pPr>
            <w:r>
              <w:rPr>
                <w:rFonts w:hint="eastAsia" w:ascii="Times New Roman" w:hAnsi="Times New Roman" w:eastAsia="宋体" w:cs="宋体"/>
                <w:color w:val="000000"/>
                <w:sz w:val="24"/>
                <w:szCs w:val="24"/>
              </w:rPr>
              <w:t>真菌D-葡聚糖检测：</w:t>
            </w:r>
          </w:p>
          <w:p>
            <w:pPr>
              <w:adjustRightInd w:val="0"/>
              <w:snapToGrid w:val="0"/>
              <w:spacing w:line="400" w:lineRule="exact"/>
              <w:jc w:val="left"/>
              <w:rPr>
                <w:rFonts w:ascii="Times New Roman" w:hAnsi="Times New Roman" w:eastAsia="宋体" w:cs="宋体"/>
                <w:color w:val="000000"/>
                <w:sz w:val="24"/>
                <w:szCs w:val="24"/>
              </w:rPr>
            </w:pPr>
            <w:r>
              <w:rPr>
                <w:rFonts w:hint="eastAsia" w:ascii="Times New Roman" w:hAnsi="Times New Roman" w:eastAsia="宋体" w:cs="宋体"/>
                <w:color w:val="000000"/>
                <w:sz w:val="24"/>
                <w:szCs w:val="24"/>
              </w:rPr>
              <w:t>靶值范围为146.6-243.7pg/mL，重复检测结果的CV（%）值应≤10%;</w:t>
            </w:r>
          </w:p>
          <w:p>
            <w:pPr>
              <w:adjustRightInd w:val="0"/>
              <w:snapToGrid w:val="0"/>
              <w:spacing w:line="400" w:lineRule="exact"/>
              <w:jc w:val="left"/>
              <w:rPr>
                <w:rFonts w:ascii="Times New Roman" w:hAnsi="Times New Roman" w:eastAsia="宋体" w:cs="宋体"/>
                <w:color w:val="000000"/>
                <w:sz w:val="24"/>
                <w:szCs w:val="24"/>
              </w:rPr>
            </w:pPr>
            <w:r>
              <w:rPr>
                <w:rFonts w:hint="eastAsia" w:ascii="Times New Roman" w:hAnsi="Times New Roman" w:eastAsia="宋体" w:cs="宋体"/>
                <w:color w:val="000000"/>
                <w:sz w:val="24"/>
                <w:szCs w:val="24"/>
              </w:rPr>
              <w:t>内毒素鲎定量测定（革兰阴性菌脂多糖测定）：</w:t>
            </w:r>
          </w:p>
          <w:p>
            <w:pPr>
              <w:adjustRightInd w:val="0"/>
              <w:snapToGrid w:val="0"/>
              <w:spacing w:line="400" w:lineRule="exact"/>
              <w:jc w:val="left"/>
              <w:rPr>
                <w:rFonts w:ascii="宋体" w:hAnsi="宋体" w:eastAsia="宋体" w:cs="宋体"/>
                <w:color w:val="000000"/>
                <w:sz w:val="24"/>
                <w:szCs w:val="24"/>
              </w:rPr>
            </w:pPr>
            <w:r>
              <w:rPr>
                <w:rFonts w:hint="eastAsia" w:ascii="Times New Roman" w:hAnsi="Times New Roman" w:eastAsia="宋体" w:cs="宋体"/>
                <w:color w:val="000000"/>
                <w:sz w:val="24"/>
                <w:szCs w:val="24"/>
              </w:rPr>
              <w:t>靶值范围为139</w:t>
            </w:r>
            <w:r>
              <w:rPr>
                <w:rFonts w:ascii="Times New Roman" w:hAnsi="Times New Roman" w:eastAsia="宋体" w:cs="Times New Roman"/>
                <w:color w:val="000000"/>
                <w:sz w:val="24"/>
                <w:szCs w:val="24"/>
              </w:rPr>
              <w:t>～</w:t>
            </w:r>
            <w:r>
              <w:rPr>
                <w:rFonts w:hint="eastAsia" w:ascii="Times New Roman" w:hAnsi="Times New Roman" w:eastAsia="宋体" w:cs="宋体"/>
                <w:color w:val="000000"/>
                <w:sz w:val="24"/>
                <w:szCs w:val="24"/>
              </w:rPr>
              <w:t>231pg/ml，重复检测结果的CV（%）≤10%.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947" w:type="dxa"/>
            <w:noWrap w:val="0"/>
            <w:vAlign w:val="center"/>
          </w:tcPr>
          <w:p>
            <w:pPr>
              <w:numPr>
                <w:ilvl w:val="0"/>
                <w:numId w:val="12"/>
              </w:numPr>
              <w:adjustRightInd w:val="0"/>
              <w:snapToGrid w:val="0"/>
              <w:spacing w:line="400" w:lineRule="exact"/>
              <w:ind w:left="425" w:leftChars="0" w:hanging="425" w:firstLineChars="0"/>
              <w:jc w:val="center"/>
              <w:rPr>
                <w:rFonts w:ascii="宋体" w:hAnsi="宋体" w:eastAsia="宋体" w:cs="宋体"/>
                <w:color w:val="000000"/>
                <w:sz w:val="24"/>
                <w:szCs w:val="24"/>
              </w:rPr>
            </w:pPr>
          </w:p>
        </w:tc>
        <w:tc>
          <w:tcPr>
            <w:tcW w:w="1346" w:type="dxa"/>
            <w:noWrap w:val="0"/>
            <w:vAlign w:val="center"/>
          </w:tcPr>
          <w:p>
            <w:pPr>
              <w:spacing w:line="400" w:lineRule="exact"/>
              <w:jc w:val="center"/>
              <w:rPr>
                <w:rFonts w:ascii="宋体" w:hAnsi="宋体" w:eastAsia="宋体" w:cs="宋体"/>
                <w:color w:val="000000"/>
                <w:sz w:val="24"/>
                <w:szCs w:val="24"/>
              </w:rPr>
            </w:pPr>
            <w:r>
              <w:rPr>
                <w:rFonts w:hint="eastAsia" w:ascii="Times New Roman" w:hAnsi="Times New Roman" w:eastAsia="宋体" w:cs="宋体"/>
                <w:color w:val="000000"/>
                <w:sz w:val="24"/>
                <w:szCs w:val="24"/>
              </w:rPr>
              <w:t>结果定量</w:t>
            </w:r>
          </w:p>
        </w:tc>
        <w:tc>
          <w:tcPr>
            <w:tcW w:w="6984" w:type="dxa"/>
            <w:noWrap w:val="0"/>
            <w:vAlign w:val="center"/>
          </w:tcPr>
          <w:p>
            <w:pPr>
              <w:adjustRightInd w:val="0"/>
              <w:snapToGrid w:val="0"/>
              <w:spacing w:line="400" w:lineRule="exact"/>
              <w:jc w:val="left"/>
              <w:rPr>
                <w:rFonts w:ascii="Times New Roman" w:hAnsi="Times New Roman" w:eastAsia="宋体" w:cs="宋体"/>
                <w:color w:val="000000"/>
                <w:sz w:val="24"/>
                <w:szCs w:val="24"/>
              </w:rPr>
            </w:pPr>
            <w:r>
              <w:rPr>
                <w:rFonts w:hint="eastAsia" w:ascii="Times New Roman" w:hAnsi="Times New Roman" w:eastAsia="宋体" w:cs="宋体"/>
                <w:color w:val="000000"/>
                <w:sz w:val="24"/>
                <w:szCs w:val="24"/>
              </w:rPr>
              <w:t>真菌D-葡聚糖检测：</w:t>
            </w:r>
          </w:p>
          <w:p>
            <w:pPr>
              <w:adjustRightInd w:val="0"/>
              <w:snapToGrid w:val="0"/>
              <w:spacing w:line="400" w:lineRule="exact"/>
              <w:jc w:val="left"/>
              <w:rPr>
                <w:rFonts w:ascii="Times New Roman" w:hAnsi="Times New Roman" w:eastAsia="宋体" w:cs="宋体"/>
                <w:color w:val="000000"/>
                <w:sz w:val="24"/>
                <w:szCs w:val="24"/>
              </w:rPr>
            </w:pPr>
            <w:r>
              <w:rPr>
                <w:rFonts w:hint="eastAsia" w:ascii="Times New Roman" w:hAnsi="Times New Roman" w:eastAsia="宋体" w:cs="宋体"/>
                <w:color w:val="000000"/>
                <w:sz w:val="24"/>
                <w:szCs w:val="24"/>
              </w:rPr>
              <w:t>阳性&gt;100 pg/ml; 阴性&lt;60 pg/ml 灰区60~100 pg/ml</w:t>
            </w:r>
          </w:p>
          <w:p>
            <w:pPr>
              <w:adjustRightInd w:val="0"/>
              <w:snapToGrid w:val="0"/>
              <w:spacing w:line="400" w:lineRule="exact"/>
              <w:jc w:val="left"/>
              <w:rPr>
                <w:rFonts w:ascii="Times New Roman" w:hAnsi="Times New Roman" w:eastAsia="宋体" w:cs="宋体"/>
                <w:color w:val="000000"/>
                <w:sz w:val="24"/>
                <w:szCs w:val="24"/>
              </w:rPr>
            </w:pPr>
            <w:r>
              <w:rPr>
                <w:rFonts w:hint="eastAsia" w:ascii="Times New Roman" w:hAnsi="Times New Roman" w:eastAsia="宋体" w:cs="宋体"/>
                <w:color w:val="000000"/>
                <w:sz w:val="24"/>
                <w:szCs w:val="24"/>
              </w:rPr>
              <w:t>内毒素鲎定量测定（革兰阴性菌脂多糖测定）：</w:t>
            </w:r>
          </w:p>
          <w:p>
            <w:pPr>
              <w:adjustRightInd w:val="0"/>
              <w:snapToGrid w:val="0"/>
              <w:spacing w:line="400" w:lineRule="exact"/>
              <w:jc w:val="left"/>
              <w:rPr>
                <w:rFonts w:ascii="宋体" w:hAnsi="宋体" w:eastAsia="宋体" w:cs="宋体"/>
                <w:color w:val="000000"/>
                <w:sz w:val="24"/>
                <w:szCs w:val="24"/>
              </w:rPr>
            </w:pPr>
            <w:r>
              <w:rPr>
                <w:rFonts w:hint="eastAsia" w:ascii="Times New Roman" w:hAnsi="Times New Roman" w:eastAsia="宋体" w:cs="宋体"/>
                <w:color w:val="000000"/>
                <w:sz w:val="24"/>
                <w:szCs w:val="24"/>
              </w:rPr>
              <w:t>阳性&gt;20pg/ml; 阴性&lt;10 pg/ml 灰区10~20 pg/ml</w:t>
            </w:r>
          </w:p>
        </w:tc>
      </w:tr>
    </w:tbl>
    <w:p>
      <w:pPr>
        <w:numPr>
          <w:ilvl w:val="0"/>
          <w:numId w:val="13"/>
        </w:numPr>
        <w:spacing w:line="360" w:lineRule="auto"/>
        <w:ind w:left="0" w:leftChars="0" w:firstLine="0" w:firstLineChars="0"/>
        <w:rPr>
          <w:rFonts w:hint="eastAsia" w:ascii="宋体" w:hAnsi="宋体" w:eastAsia="宋体" w:cs="宋体"/>
          <w:b/>
          <w:sz w:val="24"/>
          <w:szCs w:val="24"/>
        </w:rPr>
      </w:pPr>
      <w:r>
        <w:rPr>
          <w:rFonts w:hint="eastAsia" w:ascii="宋体" w:hAnsi="宋体" w:eastAsia="宋体" w:cs="宋体"/>
          <w:b/>
          <w:sz w:val="24"/>
          <w:szCs w:val="24"/>
        </w:rPr>
        <w:br w:type="page"/>
      </w:r>
    </w:p>
    <w:p>
      <w:pPr>
        <w:pStyle w:val="56"/>
        <w:numPr>
          <w:ilvl w:val="0"/>
          <w:numId w:val="0"/>
        </w:numPr>
        <w:spacing w:line="36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包件六：</w:t>
      </w:r>
    </w:p>
    <w:p>
      <w:pPr>
        <w:pStyle w:val="56"/>
        <w:numPr>
          <w:ilvl w:val="0"/>
          <w:numId w:val="14"/>
        </w:numPr>
        <w:spacing w:line="360" w:lineRule="auto"/>
        <w:ind w:left="-420" w:leftChars="0" w:firstLine="420" w:firstLineChars="0"/>
        <w:rPr>
          <w:rFonts w:hint="eastAsia" w:ascii="宋体" w:hAnsi="宋体" w:eastAsia="宋体"/>
          <w:b w:val="0"/>
          <w:bCs w:val="0"/>
          <w:sz w:val="24"/>
          <w:szCs w:val="24"/>
          <w:lang w:val="en-US" w:eastAsia="zh-CN"/>
        </w:rPr>
      </w:pPr>
      <w:r>
        <w:rPr>
          <w:rFonts w:hint="eastAsia" w:ascii="宋体" w:hAnsi="宋体" w:eastAsia="宋体" w:cs="Times New Roman"/>
          <w:sz w:val="24"/>
          <w:szCs w:val="24"/>
          <w:lang w:val="en-US" w:eastAsia="zh-CN"/>
        </w:rPr>
        <w:t>项</w:t>
      </w:r>
      <w:r>
        <w:rPr>
          <w:rFonts w:hint="eastAsia" w:ascii="宋体" w:hAnsi="宋体" w:eastAsia="宋体" w:cs="宋体"/>
          <w:sz w:val="24"/>
          <w:szCs w:val="24"/>
          <w:lang w:val="en-US" w:eastAsia="zh-CN"/>
        </w:rPr>
        <w:t>目</w:t>
      </w:r>
      <w:r>
        <w:rPr>
          <w:rFonts w:hint="eastAsia" w:ascii="宋体" w:hAnsi="宋体" w:eastAsia="宋体" w:cs="宋体"/>
          <w:b w:val="0"/>
          <w:bCs w:val="0"/>
          <w:sz w:val="24"/>
          <w:szCs w:val="24"/>
        </w:rPr>
        <w:t>名称</w:t>
      </w:r>
      <w:r>
        <w:rPr>
          <w:rFonts w:hint="eastAsia" w:ascii="宋体" w:hAnsi="宋体" w:eastAsia="宋体"/>
          <w:b w:val="0"/>
          <w:bCs w:val="0"/>
          <w:sz w:val="24"/>
          <w:szCs w:val="24"/>
          <w:lang w:val="en-US" w:eastAsia="zh-CN"/>
        </w:rPr>
        <w:t>：高尔基体蛋白73测定试剂盒(磁微粒化学发光免疫分析法)</w:t>
      </w:r>
    </w:p>
    <w:p>
      <w:pPr>
        <w:pStyle w:val="56"/>
        <w:numPr>
          <w:ilvl w:val="0"/>
          <w:numId w:val="14"/>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6"/>
        <w:numPr>
          <w:ilvl w:val="0"/>
          <w:numId w:val="14"/>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6"/>
        <w:numPr>
          <w:ilvl w:val="0"/>
          <w:numId w:val="14"/>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pStyle w:val="56"/>
        <w:widowControl w:val="0"/>
        <w:numPr>
          <w:ilvl w:val="0"/>
          <w:numId w:val="14"/>
        </w:numPr>
        <w:spacing w:line="360" w:lineRule="auto"/>
        <w:ind w:left="-420" w:leftChars="0" w:firstLine="420" w:firstLineChars="0"/>
        <w:jc w:val="both"/>
        <w:rPr>
          <w:rFonts w:hint="eastAsia" w:ascii="宋体" w:hAnsi="宋体" w:eastAsia="宋体"/>
          <w:b w:val="0"/>
          <w:bCs w:val="0"/>
          <w:sz w:val="24"/>
          <w:szCs w:val="24"/>
          <w:lang w:eastAsia="zh-CN"/>
        </w:rPr>
      </w:pP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numPr>
          <w:ilvl w:val="0"/>
          <w:numId w:val="15"/>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 期 用 途：用于体外定量检测人血清和血浆样本中高尔基体蛋白73的含量。主要用于已经组织学确诊的肝癌患者的病情监测及疗效评价。</w:t>
      </w:r>
    </w:p>
    <w:p>
      <w:pPr>
        <w:numPr>
          <w:ilvl w:val="0"/>
          <w:numId w:val="15"/>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组成包括：标记抗体、包被抗体、校准品稀释液、清洗液、底物液、一次性反应槽、校准曲线卡。</w:t>
      </w:r>
    </w:p>
    <w:p>
      <w:pPr>
        <w:numPr>
          <w:ilvl w:val="0"/>
          <w:numId w:val="15"/>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有效期：2℃~8℃保存，有效期≥12个月。</w:t>
      </w:r>
    </w:p>
    <w:p>
      <w:pPr>
        <w:numPr>
          <w:ilvl w:val="0"/>
          <w:numId w:val="15"/>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★投标人需响应医院SPD项目相关要求,并与上药医疗供应链管理(上海)有限公司签署相关SPD协议。</w:t>
      </w:r>
    </w:p>
    <w:p>
      <w:pPr>
        <w:numPr>
          <w:ilvl w:val="0"/>
          <w:numId w:val="0"/>
        </w:numPr>
        <w:spacing w:line="360" w:lineRule="auto"/>
        <w:rPr>
          <w:rFonts w:hint="default" w:ascii="宋体" w:hAnsi="宋体" w:eastAsia="宋体" w:cs="宋体"/>
          <w:sz w:val="24"/>
          <w:szCs w:val="24"/>
          <w:lang w:val="en-US" w:eastAsia="zh-CN"/>
        </w:rPr>
      </w:pPr>
    </w:p>
    <w:p>
      <w:pPr>
        <w:rPr>
          <w:rFonts w:hint="eastAsia" w:ascii="宋体" w:hAnsi="宋体" w:eastAsia="宋体" w:cs="Times New Roman"/>
          <w:b/>
          <w:sz w:val="28"/>
          <w:szCs w:val="20"/>
        </w:rPr>
      </w:pPr>
      <w:r>
        <w:rPr>
          <w:rFonts w:hint="eastAsia" w:ascii="宋体" w:hAnsi="宋体" w:eastAsia="宋体" w:cs="Times New Roman"/>
          <w:b/>
          <w:sz w:val="28"/>
          <w:szCs w:val="20"/>
        </w:rPr>
        <w:br w:type="page"/>
      </w:r>
    </w:p>
    <w:p>
      <w:pPr>
        <w:pStyle w:val="56"/>
        <w:numPr>
          <w:ilvl w:val="0"/>
          <w:numId w:val="0"/>
        </w:numPr>
        <w:spacing w:line="36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包件七：</w:t>
      </w:r>
    </w:p>
    <w:p>
      <w:pPr>
        <w:pStyle w:val="56"/>
        <w:numPr>
          <w:ilvl w:val="0"/>
          <w:numId w:val="16"/>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Times New Roman"/>
          <w:sz w:val="24"/>
          <w:szCs w:val="24"/>
          <w:lang w:val="en-US" w:eastAsia="zh-CN"/>
        </w:rPr>
        <w:t>项</w:t>
      </w:r>
      <w:r>
        <w:rPr>
          <w:rFonts w:hint="eastAsia" w:ascii="宋体" w:hAnsi="宋体" w:eastAsia="宋体" w:cs="宋体"/>
          <w:sz w:val="24"/>
          <w:szCs w:val="24"/>
          <w:lang w:val="en-US" w:eastAsia="zh-CN"/>
        </w:rPr>
        <w:t>目</w:t>
      </w:r>
      <w:r>
        <w:rPr>
          <w:rFonts w:hint="eastAsia" w:ascii="宋体" w:hAnsi="宋体" w:eastAsia="宋体" w:cs="宋体"/>
          <w:b w:val="0"/>
          <w:bCs w:val="0"/>
          <w:sz w:val="24"/>
          <w:szCs w:val="24"/>
        </w:rPr>
        <w:t>名称</w:t>
      </w:r>
      <w:r>
        <w:rPr>
          <w:rFonts w:hint="eastAsia" w:ascii="宋体" w:hAnsi="宋体" w:eastAsia="宋体" w:cs="宋体"/>
          <w:b w:val="0"/>
          <w:bCs w:val="0"/>
          <w:sz w:val="24"/>
          <w:szCs w:val="24"/>
          <w:lang w:val="en-US" w:eastAsia="zh-CN"/>
        </w:rPr>
        <w:t>：</w:t>
      </w:r>
      <w:r>
        <w:rPr>
          <w:rFonts w:hint="eastAsia" w:ascii="宋体" w:hAnsi="宋体" w:eastAsia="宋体"/>
          <w:b w:val="0"/>
          <w:bCs w:val="0"/>
          <w:sz w:val="24"/>
          <w:szCs w:val="24"/>
          <w:highlight w:val="none"/>
          <w:lang w:val="en-US" w:eastAsia="zh-CN"/>
        </w:rPr>
        <w:t>视黄醇结合蛋白(RBP)测定试剂盒</w:t>
      </w:r>
    </w:p>
    <w:p>
      <w:pPr>
        <w:pStyle w:val="56"/>
        <w:numPr>
          <w:ilvl w:val="0"/>
          <w:numId w:val="16"/>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6"/>
        <w:numPr>
          <w:ilvl w:val="0"/>
          <w:numId w:val="16"/>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6"/>
        <w:numPr>
          <w:ilvl w:val="0"/>
          <w:numId w:val="16"/>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pStyle w:val="56"/>
        <w:widowControl w:val="0"/>
        <w:numPr>
          <w:ilvl w:val="0"/>
          <w:numId w:val="16"/>
        </w:numPr>
        <w:spacing w:line="360" w:lineRule="auto"/>
        <w:ind w:left="-420" w:leftChars="0" w:firstLine="420" w:firstLineChars="0"/>
        <w:jc w:val="both"/>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技术指标要求</w:t>
      </w:r>
      <w:r>
        <w:rPr>
          <w:rFonts w:hint="eastAsia" w:ascii="宋体" w:hAnsi="宋体" w:eastAsia="宋体" w:cs="宋体"/>
          <w:b w:val="0"/>
          <w:bCs w:val="0"/>
          <w:sz w:val="21"/>
          <w:szCs w:val="21"/>
          <w:lang w:eastAsia="zh-CN"/>
        </w:rPr>
        <w:t>：</w:t>
      </w:r>
    </w:p>
    <w:p>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1.★投标人需响应医院SPD项目相关要求,并与上药医疗供应链管理(上海)有限公司签署相关SPD协议。</w:t>
      </w:r>
    </w:p>
    <w:p>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2.用途：用于体外测定人血清样本中视黄醇结合蛋白的含量，作为辅助诊断。</w:t>
      </w:r>
    </w:p>
    <w:p>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3.有效期：≥12个月。 </w:t>
      </w:r>
    </w:p>
    <w:p>
      <w:pPr>
        <w:rPr>
          <w:rFonts w:hint="eastAsia" w:ascii="宋体" w:hAnsi="宋体" w:eastAsia="宋体" w:cs="Times New Roman"/>
          <w:b/>
          <w:sz w:val="28"/>
          <w:szCs w:val="20"/>
        </w:rPr>
      </w:pPr>
      <w:r>
        <w:rPr>
          <w:rFonts w:hint="eastAsia" w:ascii="宋体" w:hAnsi="宋体" w:eastAsia="宋体" w:cs="Times New Roman"/>
          <w:b/>
          <w:sz w:val="28"/>
          <w:szCs w:val="20"/>
        </w:rPr>
        <w:br w:type="page"/>
      </w:r>
    </w:p>
    <w:p>
      <w:pPr>
        <w:pStyle w:val="56"/>
        <w:numPr>
          <w:ilvl w:val="0"/>
          <w:numId w:val="0"/>
        </w:numPr>
        <w:spacing w:line="36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包件八：</w:t>
      </w:r>
    </w:p>
    <w:p>
      <w:pPr>
        <w:pStyle w:val="56"/>
        <w:numPr>
          <w:ilvl w:val="0"/>
          <w:numId w:val="17"/>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Times New Roman"/>
          <w:sz w:val="24"/>
          <w:szCs w:val="24"/>
          <w:lang w:val="en-US" w:eastAsia="zh-CN"/>
        </w:rPr>
        <w:t>项</w:t>
      </w:r>
      <w:r>
        <w:rPr>
          <w:rFonts w:hint="eastAsia" w:ascii="宋体" w:hAnsi="宋体" w:eastAsia="宋体" w:cs="宋体"/>
          <w:sz w:val="24"/>
          <w:szCs w:val="24"/>
          <w:lang w:val="en-US" w:eastAsia="zh-CN"/>
        </w:rPr>
        <w:t>目</w:t>
      </w:r>
      <w:r>
        <w:rPr>
          <w:rFonts w:hint="eastAsia" w:ascii="宋体" w:hAnsi="宋体" w:eastAsia="宋体" w:cs="宋体"/>
          <w:b w:val="0"/>
          <w:bCs w:val="0"/>
          <w:sz w:val="24"/>
          <w:szCs w:val="24"/>
        </w:rPr>
        <w:t>名称</w:t>
      </w:r>
      <w:r>
        <w:rPr>
          <w:rFonts w:hint="eastAsia" w:ascii="宋体" w:hAnsi="宋体" w:eastAsia="宋体" w:cs="宋体"/>
          <w:b w:val="0"/>
          <w:bCs w:val="0"/>
          <w:sz w:val="24"/>
          <w:szCs w:val="24"/>
          <w:lang w:val="en-US" w:eastAsia="zh-CN"/>
        </w:rPr>
        <w:t>：血清前白蛋白</w:t>
      </w:r>
    </w:p>
    <w:p>
      <w:pPr>
        <w:pStyle w:val="56"/>
        <w:numPr>
          <w:ilvl w:val="0"/>
          <w:numId w:val="17"/>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6"/>
        <w:numPr>
          <w:ilvl w:val="0"/>
          <w:numId w:val="17"/>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6"/>
        <w:numPr>
          <w:ilvl w:val="0"/>
          <w:numId w:val="17"/>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pStyle w:val="56"/>
        <w:widowControl w:val="0"/>
        <w:numPr>
          <w:ilvl w:val="0"/>
          <w:numId w:val="17"/>
        </w:numPr>
        <w:spacing w:line="360" w:lineRule="auto"/>
        <w:ind w:left="-420" w:leftChars="0" w:firstLine="420" w:firstLineChars="0"/>
        <w:jc w:val="both"/>
        <w:rPr>
          <w:rFonts w:hint="eastAsia" w:ascii="宋体" w:hAnsi="宋体" w:eastAsia="宋体"/>
          <w:b w:val="0"/>
          <w:bCs w:val="0"/>
          <w:sz w:val="24"/>
          <w:szCs w:val="24"/>
          <w:lang w:eastAsia="zh-CN"/>
        </w:rPr>
      </w:pP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pStyle w:val="18"/>
        <w:numPr>
          <w:ilvl w:val="0"/>
          <w:numId w:val="18"/>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★投标人需响应医院SPD项目相关要求,并与上药医疗供应链管理(上海)有限公司签署相关SPD协议。</w:t>
      </w:r>
    </w:p>
    <w:p>
      <w:pPr>
        <w:pStyle w:val="18"/>
        <w:numPr>
          <w:ilvl w:val="0"/>
          <w:numId w:val="18"/>
        </w:numPr>
        <w:spacing w:line="360" w:lineRule="auto"/>
        <w:ind w:leftChars="0"/>
        <w:rPr>
          <w:rFonts w:hint="eastAsia" w:ascii="宋体" w:hAnsi="宋体" w:eastAsia="宋体" w:cs="宋体"/>
          <w:sz w:val="24"/>
          <w:szCs w:val="24"/>
          <w:lang w:val="en-US" w:eastAsia="zh-CN"/>
        </w:rPr>
      </w:pPr>
      <w:r>
        <w:rPr>
          <w:rFonts w:hint="eastAsia" w:hAnsi="宋体" w:cs="宋体"/>
          <w:sz w:val="24"/>
          <w:szCs w:val="24"/>
          <w:lang w:val="en-US" w:eastAsia="zh-CN"/>
        </w:rPr>
        <w:t>用途：用于体外测定人血清样本中前白蛋白的含量，作为辅助诊断。</w:t>
      </w:r>
    </w:p>
    <w:p>
      <w:pPr>
        <w:pStyle w:val="18"/>
        <w:numPr>
          <w:ilvl w:val="0"/>
          <w:numId w:val="18"/>
        </w:numPr>
        <w:spacing w:line="360" w:lineRule="auto"/>
        <w:ind w:leftChars="0"/>
        <w:rPr>
          <w:rFonts w:hint="eastAsia" w:ascii="宋体" w:hAnsi="宋体" w:eastAsia="宋体" w:cs="宋体"/>
          <w:sz w:val="24"/>
          <w:szCs w:val="24"/>
          <w:lang w:val="en-US" w:eastAsia="zh-CN"/>
        </w:rPr>
      </w:pPr>
      <w:r>
        <w:rPr>
          <w:rFonts w:hint="eastAsia" w:hAnsi="宋体" w:cs="宋体"/>
          <w:sz w:val="24"/>
          <w:szCs w:val="24"/>
          <w:lang w:val="en-US" w:eastAsia="zh-CN"/>
        </w:rPr>
        <w:t>有效期：≥12个月。</w:t>
      </w:r>
    </w:p>
    <w:p>
      <w:pPr>
        <w:pStyle w:val="18"/>
        <w:numPr>
          <w:ilvl w:val="0"/>
          <w:numId w:val="0"/>
        </w:numPr>
        <w:spacing w:line="360" w:lineRule="auto"/>
        <w:ind w:leftChars="0"/>
        <w:rPr>
          <w:rFonts w:hint="eastAsia" w:ascii="宋体" w:hAnsi="宋体" w:eastAsia="宋体" w:cs="宋体"/>
          <w:sz w:val="24"/>
          <w:szCs w:val="24"/>
          <w:lang w:val="en-US" w:eastAsia="zh-CN"/>
        </w:rPr>
      </w:pPr>
    </w:p>
    <w:p>
      <w:pPr>
        <w:rPr>
          <w:rFonts w:hint="eastAsia" w:ascii="宋体" w:hAnsi="宋体" w:eastAsia="宋体" w:cs="Times New Roman"/>
          <w:b/>
          <w:sz w:val="28"/>
          <w:szCs w:val="20"/>
        </w:rPr>
      </w:pPr>
      <w:r>
        <w:rPr>
          <w:rFonts w:hint="eastAsia" w:ascii="宋体" w:hAnsi="宋体" w:eastAsia="宋体" w:cs="Times New Roman"/>
          <w:b/>
          <w:sz w:val="28"/>
          <w:szCs w:val="20"/>
        </w:rPr>
        <w:br w:type="page"/>
      </w:r>
    </w:p>
    <w:p>
      <w:pPr>
        <w:numPr>
          <w:ilvl w:val="0"/>
          <w:numId w:val="0"/>
        </w:numPr>
        <w:spacing w:line="360" w:lineRule="auto"/>
        <w:ind w:leftChars="0"/>
        <w:rPr>
          <w:rFonts w:ascii="宋体" w:hAnsi="宋体" w:eastAsia="宋体" w:cs="黑体"/>
          <w:spacing w:val="8"/>
          <w:kern w:val="0"/>
          <w:sz w:val="22"/>
          <w:szCs w:val="28"/>
        </w:rPr>
      </w:pPr>
      <w:r>
        <w:rPr>
          <w:rFonts w:hint="eastAsia" w:ascii="宋体" w:hAnsi="宋体" w:eastAsia="宋体" w:cs="Times New Roman"/>
          <w:b/>
          <w:sz w:val="28"/>
          <w:szCs w:val="20"/>
        </w:rPr>
        <w:t>附件1：无重大违法记录承诺书（格式）</w:t>
      </w:r>
      <w:bookmarkEnd w:id="15"/>
    </w:p>
    <w:p>
      <w:pPr>
        <w:autoSpaceDE w:val="0"/>
        <w:autoSpaceDN w:val="0"/>
        <w:adjustRightInd w:val="0"/>
        <w:snapToGrid w:val="0"/>
        <w:spacing w:line="360" w:lineRule="auto"/>
        <w:jc w:val="center"/>
        <w:outlineLvl w:val="1"/>
        <w:rPr>
          <w:rFonts w:ascii="宋体" w:hAnsi="宋体" w:eastAsia="宋体" w:cs="黑体"/>
          <w:b/>
          <w:spacing w:val="8"/>
          <w:kern w:val="0"/>
          <w:sz w:val="27"/>
          <w:szCs w:val="20"/>
        </w:rPr>
      </w:pPr>
    </w:p>
    <w:p>
      <w:pPr>
        <w:spacing w:line="360" w:lineRule="auto"/>
        <w:rPr>
          <w:rFonts w:ascii="宋体" w:hAnsi="宋体" w:eastAsia="宋体" w:cs="Times New Roman"/>
          <w:sz w:val="24"/>
          <w:szCs w:val="20"/>
        </w:rPr>
      </w:pPr>
      <w:bookmarkStart w:id="20" w:name="_Hlk72236197"/>
      <w:r>
        <w:rPr>
          <w:rFonts w:hint="eastAsia" w:ascii="宋体" w:hAnsi="宋体" w:eastAsia="宋体" w:cs="Times New Roman"/>
          <w:sz w:val="24"/>
          <w:szCs w:val="20"/>
        </w:rPr>
        <w:t>上海市中医医院</w:t>
      </w:r>
      <w:bookmarkEnd w:id="20"/>
      <w:r>
        <w:rPr>
          <w:rFonts w:hint="eastAsia" w:ascii="宋体" w:hAnsi="宋体" w:eastAsia="宋体" w:cs="Times New Roman"/>
          <w:sz w:val="24"/>
          <w:szCs w:val="20"/>
        </w:rPr>
        <w:t>：</w:t>
      </w:r>
    </w:p>
    <w:p>
      <w:pPr>
        <w:spacing w:line="360" w:lineRule="auto"/>
        <w:rPr>
          <w:rFonts w:ascii="宋体" w:hAnsi="宋体" w:eastAsia="宋体" w:cs="Times New Roman"/>
          <w:sz w:val="24"/>
          <w:szCs w:val="20"/>
        </w:rPr>
      </w:pPr>
    </w:p>
    <w:p>
      <w:pPr>
        <w:spacing w:line="360" w:lineRule="auto"/>
        <w:rPr>
          <w:rFonts w:ascii="宋体" w:hAnsi="宋体" w:eastAsia="宋体" w:cs="Times New Roman"/>
          <w:sz w:val="24"/>
          <w:szCs w:val="20"/>
        </w:rPr>
      </w:pPr>
    </w:p>
    <w:p>
      <w:pPr>
        <w:spacing w:beforeLines="50" w:afterLines="50" w:line="360" w:lineRule="auto"/>
        <w:jc w:val="left"/>
        <w:rPr>
          <w:rFonts w:ascii="宋体" w:hAnsi="宋体" w:eastAsia="宋体" w:cs="Times New Roman"/>
          <w:sz w:val="24"/>
          <w:szCs w:val="20"/>
        </w:rPr>
      </w:pPr>
      <w:r>
        <w:rPr>
          <w:rFonts w:hint="eastAsia" w:ascii="宋体" w:hAnsi="宋体" w:eastAsia="宋体" w:cs="Times New Roman"/>
          <w:sz w:val="24"/>
          <w:szCs w:val="20"/>
          <w:u w:val="single"/>
        </w:rPr>
        <w:t xml:space="preserve">      （投标人名称）     </w:t>
      </w:r>
      <w:r>
        <w:rPr>
          <w:rFonts w:hint="eastAsia" w:ascii="宋体" w:hAnsi="宋体" w:eastAsia="宋体" w:cs="Times New Roman"/>
          <w:sz w:val="24"/>
          <w:szCs w:val="20"/>
        </w:rPr>
        <w:t xml:space="preserve">参加贵公司组织的 </w:t>
      </w:r>
      <w:r>
        <w:rPr>
          <w:rFonts w:hint="eastAsia" w:ascii="宋体" w:hAnsi="宋体" w:eastAsia="宋体" w:cs="Times New Roman"/>
          <w:sz w:val="24"/>
          <w:szCs w:val="20"/>
          <w:u w:val="single"/>
        </w:rPr>
        <w:t xml:space="preserve"> （项目名称） </w:t>
      </w:r>
      <w:r>
        <w:rPr>
          <w:rFonts w:hint="eastAsia" w:ascii="宋体" w:hAnsi="宋体" w:eastAsia="宋体" w:cs="Times New Roman"/>
          <w:sz w:val="24"/>
          <w:szCs w:val="20"/>
        </w:rPr>
        <w:t>项目的投标。在此郑重声明：我公司参加政府采购活动前三年内，在经营活动中没有重大违法记录。</w:t>
      </w:r>
    </w:p>
    <w:p>
      <w:pPr>
        <w:spacing w:line="360" w:lineRule="auto"/>
        <w:rPr>
          <w:rFonts w:ascii="宋体" w:hAnsi="宋体" w:eastAsia="宋体" w:cs="Times New Roman"/>
          <w:sz w:val="24"/>
          <w:szCs w:val="20"/>
        </w:rPr>
      </w:pPr>
    </w:p>
    <w:p>
      <w:pPr>
        <w:spacing w:line="360" w:lineRule="auto"/>
        <w:rPr>
          <w:rFonts w:ascii="宋体" w:hAnsi="宋体" w:eastAsia="宋体" w:cs="Times New Roman"/>
          <w:sz w:val="24"/>
          <w:szCs w:val="20"/>
        </w:rPr>
      </w:pP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投标人代表签字：______________</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日期：________________________</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投标人名称：__________________</w:t>
      </w:r>
    </w:p>
    <w:p>
      <w:pPr>
        <w:spacing w:line="360" w:lineRule="auto"/>
        <w:jc w:val="left"/>
        <w:rPr>
          <w:rFonts w:ascii="宋体" w:hAnsi="宋体" w:eastAsia="宋体" w:cs="Times New Roman"/>
          <w:sz w:val="24"/>
          <w:szCs w:val="20"/>
        </w:rPr>
        <w:sectPr>
          <w:pgSz w:w="11907" w:h="16840"/>
          <w:pgMar w:top="1418" w:right="1302" w:bottom="1242" w:left="1260" w:header="567" w:footer="567" w:gutter="0"/>
          <w:pgBorders>
            <w:top w:val="none" w:sz="0" w:space="0"/>
            <w:left w:val="none" w:sz="0" w:space="0"/>
            <w:bottom w:val="none" w:sz="0" w:space="0"/>
            <w:right w:val="none" w:sz="0" w:space="0"/>
          </w:pgBorders>
          <w:cols w:space="425" w:num="1"/>
        </w:sectPr>
      </w:pPr>
      <w:r>
        <w:rPr>
          <w:rFonts w:hint="eastAsia" w:ascii="宋体" w:hAnsi="宋体" w:eastAsia="宋体" w:cs="Times New Roman"/>
          <w:sz w:val="24"/>
          <w:szCs w:val="20"/>
        </w:rPr>
        <w:t>公章：_______________________</w:t>
      </w:r>
    </w:p>
    <w:p>
      <w:pPr>
        <w:keepNext/>
        <w:keepLines/>
        <w:autoSpaceDE w:val="0"/>
        <w:autoSpaceDN w:val="0"/>
        <w:spacing w:before="260" w:after="260" w:line="360" w:lineRule="auto"/>
        <w:jc w:val="left"/>
        <w:outlineLvl w:val="2"/>
        <w:rPr>
          <w:rFonts w:ascii="宋体" w:hAnsi="宋体" w:eastAsia="宋体" w:cs="Times New Roman"/>
          <w:b/>
          <w:sz w:val="28"/>
          <w:szCs w:val="20"/>
        </w:rPr>
      </w:pPr>
      <w:bookmarkStart w:id="21" w:name="_Toc11326097"/>
      <w:r>
        <w:rPr>
          <w:rFonts w:hint="eastAsia" w:ascii="宋体" w:hAnsi="宋体" w:eastAsia="宋体" w:cs="Times New Roman"/>
          <w:b/>
          <w:sz w:val="28"/>
          <w:szCs w:val="20"/>
        </w:rPr>
        <w:t>附件2：无行贿犯罪记录声明函（格式）</w:t>
      </w:r>
      <w:bookmarkEnd w:id="21"/>
    </w:p>
    <w:p>
      <w:pPr>
        <w:autoSpaceDE w:val="0"/>
        <w:autoSpaceDN w:val="0"/>
        <w:adjustRightInd w:val="0"/>
        <w:snapToGrid w:val="0"/>
        <w:spacing w:line="360" w:lineRule="auto"/>
        <w:jc w:val="center"/>
        <w:outlineLvl w:val="1"/>
        <w:rPr>
          <w:rFonts w:ascii="宋体" w:hAnsi="宋体" w:eastAsia="宋体" w:cs="黑体"/>
          <w:b/>
          <w:spacing w:val="8"/>
          <w:kern w:val="0"/>
          <w:sz w:val="24"/>
          <w:szCs w:val="24"/>
        </w:rPr>
      </w:pPr>
    </w:p>
    <w:p>
      <w:pPr>
        <w:spacing w:beforeLines="50"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上海市中医医院：</w:t>
      </w:r>
    </w:p>
    <w:p>
      <w:pPr>
        <w:spacing w:beforeLines="50" w:afterLines="50" w:line="360" w:lineRule="auto"/>
        <w:jc w:val="left"/>
        <w:rPr>
          <w:rFonts w:ascii="宋体" w:hAnsi="宋体" w:eastAsia="宋体" w:cs="Times New Roman"/>
          <w:sz w:val="24"/>
          <w:szCs w:val="24"/>
        </w:rPr>
      </w:pPr>
    </w:p>
    <w:p>
      <w:pPr>
        <w:spacing w:beforeLines="50"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w:t>
      </w:r>
      <w:r>
        <w:rPr>
          <w:rFonts w:hint="eastAsia" w:ascii="宋体" w:hAnsi="宋体" w:eastAsia="宋体" w:cs="Times New Roman"/>
          <w:sz w:val="24"/>
          <w:szCs w:val="24"/>
          <w:u w:val="single"/>
        </w:rPr>
        <w:t xml:space="preserve">      （投标人名称）     </w:t>
      </w:r>
      <w:r>
        <w:rPr>
          <w:rFonts w:hint="eastAsia" w:ascii="宋体" w:hAnsi="宋体" w:eastAsia="宋体" w:cs="Times New Roman"/>
          <w:sz w:val="24"/>
          <w:szCs w:val="24"/>
        </w:rPr>
        <w:t>参加贵公司组织的</w:t>
      </w:r>
      <w:r>
        <w:rPr>
          <w:rFonts w:hint="eastAsia" w:ascii="宋体" w:hAnsi="宋体" w:eastAsia="宋体" w:cs="Times New Roman"/>
          <w:sz w:val="24"/>
          <w:szCs w:val="24"/>
          <w:u w:val="single"/>
        </w:rPr>
        <w:t xml:space="preserve">      （项目名称）     </w:t>
      </w:r>
      <w:r>
        <w:rPr>
          <w:rFonts w:hint="eastAsia" w:ascii="宋体" w:hAnsi="宋体" w:eastAsia="宋体" w:cs="Times New Roman"/>
          <w:sz w:val="24"/>
          <w:szCs w:val="24"/>
        </w:rPr>
        <w:t>项目的投标。在此郑重声明：经查询中国裁判文书网，我公司自开展经营活动以来，未有过行贿犯罪记录。</w:t>
      </w:r>
    </w:p>
    <w:p>
      <w:pPr>
        <w:spacing w:beforeLines="50"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特此声明。</w:t>
      </w:r>
    </w:p>
    <w:p>
      <w:pPr>
        <w:spacing w:beforeLines="50" w:afterLines="50" w:line="360" w:lineRule="auto"/>
        <w:jc w:val="left"/>
        <w:rPr>
          <w:rFonts w:ascii="宋体" w:hAnsi="宋体" w:eastAsia="宋体" w:cs="Times New Roman"/>
          <w:sz w:val="24"/>
          <w:szCs w:val="24"/>
        </w:rPr>
      </w:pPr>
      <w:r>
        <w:rPr>
          <w:rFonts w:hint="eastAsia" w:ascii="宋体" w:hAnsi="宋体" w:eastAsia="宋体" w:cs="Arial"/>
          <w:kern w:val="0"/>
          <w:sz w:val="24"/>
          <w:szCs w:val="24"/>
        </w:rPr>
        <w:t xml:space="preserve">    本公司对上述声明的真实性负责。如有虚假，将依法承担相应责任。</w:t>
      </w:r>
    </w:p>
    <w:p>
      <w:pPr>
        <w:spacing w:beforeLines="50" w:afterLines="50" w:line="360" w:lineRule="auto"/>
        <w:jc w:val="left"/>
        <w:rPr>
          <w:rFonts w:ascii="宋体" w:hAnsi="宋体" w:eastAsia="宋体" w:cs="Times New Roman"/>
          <w:sz w:val="24"/>
          <w:szCs w:val="24"/>
        </w:rPr>
      </w:pPr>
    </w:p>
    <w:p>
      <w:pPr>
        <w:spacing w:line="360" w:lineRule="auto"/>
        <w:jc w:val="left"/>
        <w:rPr>
          <w:rFonts w:ascii="宋体" w:hAnsi="宋体" w:eastAsia="宋体" w:cs="Times New Roman"/>
          <w:sz w:val="24"/>
          <w:szCs w:val="24"/>
        </w:rPr>
      </w:pP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投标人代表签字</w:t>
      </w:r>
      <w:r>
        <w:rPr>
          <w:rFonts w:ascii="宋体" w:hAnsi="宋体" w:eastAsia="宋体" w:cs="Times New Roman"/>
          <w:sz w:val="24"/>
          <w:szCs w:val="24"/>
        </w:rPr>
        <w:t>:</w:t>
      </w:r>
      <w:r>
        <w:rPr>
          <w:rFonts w:hint="eastAsia" w:ascii="宋体" w:hAnsi="宋体" w:eastAsia="宋体" w:cs="Times New Roman"/>
          <w:sz w:val="24"/>
          <w:szCs w:val="24"/>
        </w:rPr>
        <w:t>______________</w:t>
      </w: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日期:__________________________  </w:t>
      </w: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投标人名称</w:t>
      </w:r>
      <w:r>
        <w:rPr>
          <w:rFonts w:ascii="宋体" w:hAnsi="宋体" w:eastAsia="宋体" w:cs="Times New Roman"/>
          <w:sz w:val="24"/>
          <w:szCs w:val="24"/>
        </w:rPr>
        <w:t>:</w:t>
      </w:r>
      <w:r>
        <w:rPr>
          <w:rFonts w:hint="eastAsia" w:ascii="宋体" w:hAnsi="宋体" w:eastAsia="宋体" w:cs="Times New Roman"/>
          <w:sz w:val="24"/>
          <w:szCs w:val="24"/>
        </w:rPr>
        <w:t xml:space="preserve">______________________ </w:t>
      </w:r>
    </w:p>
    <w:p>
      <w:pPr>
        <w:spacing w:line="360" w:lineRule="auto"/>
        <w:jc w:val="left"/>
        <w:rPr>
          <w:rFonts w:ascii="宋体" w:hAnsi="宋体" w:eastAsia="宋体" w:cs="Times New Roman"/>
          <w:sz w:val="24"/>
          <w:szCs w:val="24"/>
          <w:u w:val="single"/>
        </w:rPr>
      </w:pPr>
      <w:r>
        <w:rPr>
          <w:rFonts w:hint="eastAsia" w:ascii="宋体" w:hAnsi="宋体" w:eastAsia="宋体" w:cs="Times New Roman"/>
          <w:sz w:val="24"/>
          <w:szCs w:val="24"/>
        </w:rPr>
        <w:t>公章：</w:t>
      </w:r>
      <w:r>
        <w:rPr>
          <w:rFonts w:hint="eastAsia" w:ascii="宋体" w:hAnsi="宋体" w:eastAsia="宋体" w:cs="Times New Roman"/>
          <w:sz w:val="24"/>
          <w:szCs w:val="24"/>
          <w:u w:val="single"/>
        </w:rPr>
        <w:t xml:space="preserve">              </w:t>
      </w: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sectPr>
      <w:pgSz w:w="11907" w:h="16840"/>
      <w:pgMar w:top="1418" w:right="1302" w:bottom="1242" w:left="1260" w:header="567" w:footer="567"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72">
    <w:altName w:val="Segoe Print"/>
    <w:panose1 w:val="00000000000000000000"/>
    <w:charset w:val="00"/>
    <w:family w:val="auto"/>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Adobe 黑体 Std R">
    <w:altName w:val="黑体"/>
    <w:panose1 w:val="00000000000000000000"/>
    <w:charset w:val="86"/>
    <w:family w:val="swiss"/>
    <w:pitch w:val="default"/>
    <w:sig w:usb0="00000000" w:usb1="00000000" w:usb2="00000016" w:usb3="00000000" w:csb0="00060007"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1</w:t>
    </w:r>
    <w:r>
      <w:rPr>
        <w:lang w:val="zh-CN"/>
      </w:rPr>
      <w:fldChar w:fldCharType="end"/>
    </w:r>
  </w:p>
  <w:p>
    <w:pPr>
      <w:pStyle w:val="22"/>
      <w:tabs>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6"/>
      </w:rPr>
    </w:pPr>
    <w:r>
      <w:rPr>
        <w:rStyle w:val="36"/>
      </w:rPr>
      <w:fldChar w:fldCharType="begin"/>
    </w:r>
    <w:r>
      <w:rPr>
        <w:rStyle w:val="36"/>
      </w:rPr>
      <w:instrText xml:space="preserve">PAGE  </w:instrText>
    </w:r>
    <w:r>
      <w:rPr>
        <w:rStyle w:val="36"/>
      </w:rPr>
      <w:fldChar w:fldCharType="separate"/>
    </w:r>
    <w:r>
      <w:rPr>
        <w:rStyle w:val="36"/>
      </w:rPr>
      <w:t>77</w:t>
    </w:r>
    <w:r>
      <w:rPr>
        <w:rStyle w:val="36"/>
      </w:rP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2</w:t>
    </w:r>
    <w:r>
      <w:rPr>
        <w:lang w:val="zh-CN"/>
      </w:rPr>
      <w:fldChar w:fldCharType="end"/>
    </w:r>
  </w:p>
  <w:p>
    <w:pPr>
      <w:pStyle w:val="22"/>
      <w:tabs>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5</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6"/>
      </w:rPr>
    </w:pPr>
    <w:r>
      <w:rPr>
        <w:rStyle w:val="36"/>
      </w:rPr>
      <w:fldChar w:fldCharType="begin"/>
    </w:r>
    <w:r>
      <w:rPr>
        <w:rStyle w:val="36"/>
      </w:rPr>
      <w:instrText xml:space="preserve">PAGE  </w:instrText>
    </w:r>
    <w:r>
      <w:rPr>
        <w:rStyle w:val="36"/>
      </w:rPr>
      <w:fldChar w:fldCharType="separate"/>
    </w:r>
    <w:r>
      <w:rPr>
        <w:rStyle w:val="36"/>
      </w:rPr>
      <w:t>77</w:t>
    </w:r>
    <w:r>
      <w:rPr>
        <w:rStyle w:val="36"/>
      </w:rPr>
      <w:fldChar w:fldCharType="end"/>
    </w:r>
  </w:p>
  <w:p>
    <w:pPr>
      <w:pStyle w:val="22"/>
      <w:pBdr>
        <w:top w:val="single" w:color="auto" w:sz="4" w:space="1"/>
      </w:pBdr>
      <w:tabs>
        <w:tab w:val="right" w:pos="7980"/>
        <w:tab w:val="right" w:pos="8820"/>
        <w:tab w:val="clear" w:pos="4153"/>
        <w:tab w:val="clear" w:pos="8306"/>
      </w:tabs>
      <w:ind w:right="360"/>
      <w:rPr>
        <w:b/>
        <w:i/>
      </w:rPr>
    </w:pPr>
    <w:r>
      <w:rPr>
        <w:rFonts w:hint="eastAsia" w:ascii="楷体_GB2312" w:eastAsia="楷体_GB2312"/>
        <w:i/>
      </w:rPr>
      <w:tab/>
    </w:r>
    <w:r>
      <w:rPr>
        <w:rFonts w:hint="eastAsia" w:ascii="楷体_GB2312" w:eastAsia="楷体_GB2312"/>
        <w:i/>
      </w:rPr>
      <w:t>第三章 货物需求一览表及技术规格</w:t>
    </w:r>
    <w:r>
      <w:rPr>
        <w:rFonts w:hint="eastAsia" w:ascii="楷体_GB2312" w:eastAsia="楷体_GB2312"/>
        <w:i/>
      </w:rPr>
      <w:tab/>
    </w:r>
    <w:r>
      <w:rPr>
        <w:rFonts w:hint="eastAsia"/>
        <w:i/>
      </w:rPr>
      <w:t>··</w:t>
    </w:r>
  </w:p>
  <w:p>
    <w:pPr>
      <w:pStyle w:val="2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tabs>
        <w:tab w:val="clear" w:pos="4153"/>
        <w:tab w:val="clear" w:pos="8306"/>
      </w:tabs>
      <w:jc w:val="left"/>
      <w:rPr>
        <w:rFonts w:ascii="宋体" w:hAnsi="宋体"/>
      </w:rPr>
    </w:pPr>
    <w:r>
      <w:pict>
        <v:shape id="PowerPlusWaterMarkObject9210345" o:spid="_x0000_s4098" o:spt="136" type="#_x0000_t136" style="position:absolute;left:0pt;height:109.9pt;width:549.5pt;mso-position-horizontal:center;mso-position-horizontal-relative:margin;mso-position-vertical:center;mso-position-vertical-relative:margin;rotation:20643840f;z-index:-25165516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4" o:spid="_x0000_s4099" o:spt="136" type="#_x0000_t136" style="position:absolute;left:0pt;height:109.9pt;width:549.5pt;mso-position-horizontal:center;mso-position-horizontal-relative:margin;mso-position-vertical:center;mso-position-vertical-relative:margin;rotation:20643840f;z-index:-25165619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r>
      <w:pict>
        <v:shape id="PowerPlusWaterMarkObject9210343" o:spid="_x0000_s4097" o:spt="136" type="#_x0000_t136" style="position:absolute;left:0pt;height:109.9pt;width:549.5pt;mso-position-horizontal:center;mso-position-horizontal-relative:margin;mso-position-vertical:center;mso-position-vertical-relative:margin;rotation:20643840f;z-index:-25165721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tabs>
        <w:tab w:val="clear" w:pos="4153"/>
        <w:tab w:val="clear" w:pos="8306"/>
      </w:tabs>
      <w:jc w:val="left"/>
    </w:pPr>
    <w:r>
      <w:pict>
        <v:shape id="_x0000_s4101" o:spid="_x0000_s4101" o:spt="136" type="#_x0000_t136" style="position:absolute;left:0pt;height:109.9pt;width:549.5pt;mso-position-horizontal:center;mso-position-horizontal-relative:margin;mso-position-vertical:center;mso-position-vertical-relative:margin;rotation:20643840f;z-index:-251649024;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r>
      <w:pict>
        <v:shape id="PowerPlusWaterMarkObject9210348" o:spid="_x0000_s4102" o:spt="136" type="#_x0000_t136" style="position:absolute;left:0pt;height:109.9pt;width:549.5pt;mso-position-horizontal:center;mso-position-horizontal-relative:margin;mso-position-vertical:center;mso-position-vertical-relative:margin;rotation:20643840f;z-index:-25165209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7" o:spid="_x0000_s4103" o:spt="136" type="#_x0000_t136" style="position:absolute;left:0pt;height:109.9pt;width:549.5pt;mso-position-horizontal:center;mso-position-horizontal-relative:margin;mso-position-vertical:center;mso-position-vertical-relative:margin;rotation:20643840f;z-index:-251653120;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6" o:spid="_x0000_s4100" o:spt="136" type="#_x0000_t136" style="position:absolute;left:0pt;height:109.9pt;width:549.5pt;mso-position-horizontal:center;mso-position-horizontal-relative:margin;mso-position-vertical:center;mso-position-vertical-relative:margin;rotation:20643840f;z-index:-251654144;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50" o:spid="_x0000_s4105" o:spt="136" type="#_x0000_t136" style="position:absolute;left:0pt;height:109.9pt;width:549.5pt;mso-position-horizontal:center;mso-position-horizontal-relative:margin;mso-position-vertical:center;mso-position-vertical-relative:margin;rotation:20643840f;z-index:-25165004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9" o:spid="_x0000_s4104" o:spt="136" type="#_x0000_t136" style="position:absolute;left:0pt;height:109.9pt;width:549.5pt;mso-position-horizontal:center;mso-position-horizontal-relative:margin;mso-position-vertical:center;mso-position-vertical-relative:margin;rotation:20643840f;z-index:-25165107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0E91A2"/>
    <w:multiLevelType w:val="singleLevel"/>
    <w:tmpl w:val="A20E91A2"/>
    <w:lvl w:ilvl="0" w:tentative="0">
      <w:start w:val="4"/>
      <w:numFmt w:val="chineseCounting"/>
      <w:suff w:val="space"/>
      <w:lvlText w:val="第%1章"/>
      <w:lvlJc w:val="left"/>
      <w:rPr>
        <w:rFonts w:hint="eastAsia"/>
        <w:lang w:val="en-US"/>
      </w:rPr>
    </w:lvl>
  </w:abstractNum>
  <w:abstractNum w:abstractNumId="1">
    <w:nsid w:val="B4BEB4AB"/>
    <w:multiLevelType w:val="singleLevel"/>
    <w:tmpl w:val="B4BEB4AB"/>
    <w:lvl w:ilvl="0" w:tentative="0">
      <w:start w:val="1"/>
      <w:numFmt w:val="chineseCounting"/>
      <w:suff w:val="nothing"/>
      <w:lvlText w:val="%1、"/>
      <w:lvlJc w:val="left"/>
      <w:pPr>
        <w:ind w:left="-420" w:firstLine="420"/>
      </w:pPr>
      <w:rPr>
        <w:rFonts w:hint="eastAsia"/>
        <w:b w:val="0"/>
        <w:bCs w:val="0"/>
      </w:rPr>
    </w:lvl>
  </w:abstractNum>
  <w:abstractNum w:abstractNumId="2">
    <w:nsid w:val="CD42E90B"/>
    <w:multiLevelType w:val="singleLevel"/>
    <w:tmpl w:val="CD42E90B"/>
    <w:lvl w:ilvl="0" w:tentative="0">
      <w:start w:val="2"/>
      <w:numFmt w:val="decimal"/>
      <w:suff w:val="nothing"/>
      <w:lvlText w:val="（%1）"/>
      <w:lvlJc w:val="left"/>
    </w:lvl>
  </w:abstractNum>
  <w:abstractNum w:abstractNumId="3">
    <w:nsid w:val="D6EC69DB"/>
    <w:multiLevelType w:val="singleLevel"/>
    <w:tmpl w:val="D6EC69DB"/>
    <w:lvl w:ilvl="0" w:tentative="0">
      <w:start w:val="1"/>
      <w:numFmt w:val="decimal"/>
      <w:lvlText w:val="%1、"/>
      <w:lvlJc w:val="left"/>
      <w:pPr>
        <w:ind w:left="425" w:hanging="425"/>
      </w:pPr>
      <w:rPr>
        <w:rFonts w:ascii="宋体" w:hAnsi="宋体" w:eastAsia="宋体" w:cs="Times New Roman"/>
      </w:rPr>
    </w:lvl>
  </w:abstractNum>
  <w:abstractNum w:abstractNumId="4">
    <w:nsid w:val="D94F0F54"/>
    <w:multiLevelType w:val="singleLevel"/>
    <w:tmpl w:val="D94F0F54"/>
    <w:lvl w:ilvl="0" w:tentative="0">
      <w:start w:val="1"/>
      <w:numFmt w:val="chineseCounting"/>
      <w:suff w:val="nothing"/>
      <w:lvlText w:val="%1、"/>
      <w:lvlJc w:val="left"/>
      <w:pPr>
        <w:ind w:left="-420" w:firstLine="420"/>
      </w:pPr>
      <w:rPr>
        <w:rFonts w:hint="eastAsia"/>
        <w:b w:val="0"/>
        <w:bCs w:val="0"/>
      </w:rPr>
    </w:lvl>
  </w:abstractNum>
  <w:abstractNum w:abstractNumId="5">
    <w:nsid w:val="E380AD4C"/>
    <w:multiLevelType w:val="singleLevel"/>
    <w:tmpl w:val="E380AD4C"/>
    <w:lvl w:ilvl="0" w:tentative="0">
      <w:start w:val="1"/>
      <w:numFmt w:val="chineseCounting"/>
      <w:suff w:val="nothing"/>
      <w:lvlText w:val="%1、"/>
      <w:lvlJc w:val="left"/>
      <w:pPr>
        <w:ind w:left="-420" w:firstLine="420"/>
      </w:pPr>
      <w:rPr>
        <w:rFonts w:hint="eastAsia"/>
        <w:b w:val="0"/>
        <w:bCs w:val="0"/>
      </w:rPr>
    </w:lvl>
  </w:abstractNum>
  <w:abstractNum w:abstractNumId="6">
    <w:nsid w:val="F17D75DB"/>
    <w:multiLevelType w:val="singleLevel"/>
    <w:tmpl w:val="F17D75DB"/>
    <w:lvl w:ilvl="0" w:tentative="0">
      <w:start w:val="1"/>
      <w:numFmt w:val="decimal"/>
      <w:suff w:val="nothing"/>
      <w:lvlText w:val="%1、"/>
      <w:lvlJc w:val="left"/>
    </w:lvl>
  </w:abstractNum>
  <w:abstractNum w:abstractNumId="7">
    <w:nsid w:val="F1FBE7E4"/>
    <w:multiLevelType w:val="singleLevel"/>
    <w:tmpl w:val="F1FBE7E4"/>
    <w:lvl w:ilvl="0" w:tentative="0">
      <w:start w:val="1"/>
      <w:numFmt w:val="chineseCounting"/>
      <w:suff w:val="nothing"/>
      <w:lvlText w:val="%1、"/>
      <w:lvlJc w:val="left"/>
      <w:pPr>
        <w:ind w:left="-420" w:firstLine="420"/>
      </w:pPr>
      <w:rPr>
        <w:rFonts w:hint="eastAsia"/>
        <w:b w:val="0"/>
        <w:bCs w:val="0"/>
      </w:rPr>
    </w:lvl>
  </w:abstractNum>
  <w:abstractNum w:abstractNumId="8">
    <w:nsid w:val="037DAD23"/>
    <w:multiLevelType w:val="singleLevel"/>
    <w:tmpl w:val="037DAD23"/>
    <w:lvl w:ilvl="0" w:tentative="0">
      <w:start w:val="1"/>
      <w:numFmt w:val="decimal"/>
      <w:suff w:val="nothing"/>
      <w:lvlText w:val="%1、"/>
      <w:lvlJc w:val="left"/>
    </w:lvl>
  </w:abstractNum>
  <w:abstractNum w:abstractNumId="9">
    <w:nsid w:val="10FC1BE1"/>
    <w:multiLevelType w:val="singleLevel"/>
    <w:tmpl w:val="10FC1BE1"/>
    <w:lvl w:ilvl="0" w:tentative="0">
      <w:start w:val="1"/>
      <w:numFmt w:val="chineseCounting"/>
      <w:suff w:val="nothing"/>
      <w:lvlText w:val="%1、"/>
      <w:lvlJc w:val="left"/>
      <w:pPr>
        <w:ind w:left="-420" w:firstLine="420"/>
      </w:pPr>
      <w:rPr>
        <w:rFonts w:hint="eastAsia"/>
        <w:b w:val="0"/>
        <w:bCs w:val="0"/>
      </w:rPr>
    </w:lvl>
  </w:abstractNum>
  <w:abstractNum w:abstractNumId="10">
    <w:nsid w:val="11F24991"/>
    <w:multiLevelType w:val="singleLevel"/>
    <w:tmpl w:val="11F24991"/>
    <w:lvl w:ilvl="0" w:tentative="0">
      <w:start w:val="1"/>
      <w:numFmt w:val="chineseCounting"/>
      <w:suff w:val="nothing"/>
      <w:lvlText w:val="%1、"/>
      <w:lvlJc w:val="left"/>
      <w:pPr>
        <w:ind w:left="-420" w:firstLine="420"/>
      </w:pPr>
      <w:rPr>
        <w:rFonts w:hint="eastAsia"/>
        <w:b w:val="0"/>
        <w:bCs w:val="0"/>
      </w:rPr>
    </w:lvl>
  </w:abstractNum>
  <w:abstractNum w:abstractNumId="11">
    <w:nsid w:val="40C04F2A"/>
    <w:multiLevelType w:val="singleLevel"/>
    <w:tmpl w:val="40C04F2A"/>
    <w:lvl w:ilvl="0" w:tentative="0">
      <w:start w:val="1"/>
      <w:numFmt w:val="decimal"/>
      <w:lvlText w:val="%1."/>
      <w:lvlJc w:val="left"/>
      <w:pPr>
        <w:ind w:left="425" w:hanging="425"/>
      </w:pPr>
      <w:rPr>
        <w:rFonts w:hint="default"/>
      </w:rPr>
    </w:lvl>
  </w:abstractNum>
  <w:abstractNum w:abstractNumId="12">
    <w:nsid w:val="44829AA6"/>
    <w:multiLevelType w:val="singleLevel"/>
    <w:tmpl w:val="44829AA6"/>
    <w:lvl w:ilvl="0" w:tentative="0">
      <w:start w:val="1"/>
      <w:numFmt w:val="decimal"/>
      <w:suff w:val="nothing"/>
      <w:lvlText w:val="%1、"/>
      <w:lvlJc w:val="left"/>
    </w:lvl>
  </w:abstractNum>
  <w:abstractNum w:abstractNumId="13">
    <w:nsid w:val="52FE4A56"/>
    <w:multiLevelType w:val="singleLevel"/>
    <w:tmpl w:val="52FE4A56"/>
    <w:lvl w:ilvl="0" w:tentative="0">
      <w:start w:val="1"/>
      <w:numFmt w:val="chineseCounting"/>
      <w:suff w:val="nothing"/>
      <w:lvlText w:val="%1、"/>
      <w:lvlJc w:val="left"/>
      <w:pPr>
        <w:ind w:left="-420" w:firstLine="420"/>
      </w:pPr>
      <w:rPr>
        <w:rFonts w:hint="eastAsia"/>
        <w:b w:val="0"/>
        <w:bCs w:val="0"/>
      </w:rPr>
    </w:lvl>
  </w:abstractNum>
  <w:abstractNum w:abstractNumId="14">
    <w:nsid w:val="57FB7DDC"/>
    <w:multiLevelType w:val="multilevel"/>
    <w:tmpl w:val="57FB7DDC"/>
    <w:lvl w:ilvl="0" w:tentative="0">
      <w:start w:val="1"/>
      <w:numFmt w:val="bullet"/>
      <w:pStyle w:val="200"/>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5">
    <w:nsid w:val="621677EF"/>
    <w:multiLevelType w:val="singleLevel"/>
    <w:tmpl w:val="621677EF"/>
    <w:lvl w:ilvl="0" w:tentative="0">
      <w:start w:val="1"/>
      <w:numFmt w:val="decimal"/>
      <w:lvlText w:val="%1."/>
      <w:lvlJc w:val="left"/>
      <w:pPr>
        <w:tabs>
          <w:tab w:val="left" w:pos="312"/>
        </w:tabs>
      </w:pPr>
    </w:lvl>
  </w:abstractNum>
  <w:abstractNum w:abstractNumId="16">
    <w:nsid w:val="6A54A087"/>
    <w:multiLevelType w:val="singleLevel"/>
    <w:tmpl w:val="6A54A087"/>
    <w:lvl w:ilvl="0" w:tentative="0">
      <w:start w:val="1"/>
      <w:numFmt w:val="decimal"/>
      <w:lvlText w:val="%1."/>
      <w:lvlJc w:val="left"/>
      <w:pPr>
        <w:ind w:left="425" w:hanging="425"/>
      </w:pPr>
      <w:rPr>
        <w:rFonts w:hint="default"/>
      </w:rPr>
    </w:lvl>
  </w:abstractNum>
  <w:abstractNum w:abstractNumId="17">
    <w:nsid w:val="762A6DF2"/>
    <w:multiLevelType w:val="singleLevel"/>
    <w:tmpl w:val="762A6DF2"/>
    <w:lvl w:ilvl="0" w:tentative="0">
      <w:start w:val="1"/>
      <w:numFmt w:val="chineseCounting"/>
      <w:suff w:val="nothing"/>
      <w:lvlText w:val="%1、"/>
      <w:lvlJc w:val="left"/>
      <w:pPr>
        <w:ind w:left="-420" w:firstLine="420"/>
      </w:pPr>
      <w:rPr>
        <w:rFonts w:hint="eastAsia"/>
        <w:b w:val="0"/>
        <w:bCs w:val="0"/>
      </w:rPr>
    </w:lvl>
  </w:abstractNum>
  <w:num w:numId="1">
    <w:abstractNumId w:val="14"/>
  </w:num>
  <w:num w:numId="2">
    <w:abstractNumId w:val="2"/>
  </w:num>
  <w:num w:numId="3">
    <w:abstractNumId w:val="0"/>
  </w:num>
  <w:num w:numId="4">
    <w:abstractNumId w:val="1"/>
  </w:num>
  <w:num w:numId="5">
    <w:abstractNumId w:val="3"/>
  </w:num>
  <w:num w:numId="6">
    <w:abstractNumId w:val="7"/>
  </w:num>
  <w:num w:numId="7">
    <w:abstractNumId w:val="9"/>
  </w:num>
  <w:num w:numId="8">
    <w:abstractNumId w:val="12"/>
  </w:num>
  <w:num w:numId="9">
    <w:abstractNumId w:val="5"/>
  </w:num>
  <w:num w:numId="10">
    <w:abstractNumId w:val="15"/>
  </w:num>
  <w:num w:numId="11">
    <w:abstractNumId w:val="4"/>
  </w:num>
  <w:num w:numId="12">
    <w:abstractNumId w:val="16"/>
  </w:num>
  <w:num w:numId="13">
    <w:abstractNumId w:val="8"/>
  </w:num>
  <w:num w:numId="14">
    <w:abstractNumId w:val="13"/>
  </w:num>
  <w:num w:numId="15">
    <w:abstractNumId w:val="11"/>
  </w:num>
  <w:num w:numId="16">
    <w:abstractNumId w:val="10"/>
  </w:num>
  <w:num w:numId="17">
    <w:abstractNumId w:val="1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wZWVhNGNiN2Q0NGQxYTM5NDI5ZjE1NmI5N2I5NGYifQ=="/>
  </w:docVars>
  <w:rsids>
    <w:rsidRoot w:val="002264AA"/>
    <w:rsid w:val="00011506"/>
    <w:rsid w:val="000125C7"/>
    <w:rsid w:val="00017F08"/>
    <w:rsid w:val="00050B1E"/>
    <w:rsid w:val="000519D9"/>
    <w:rsid w:val="000547EC"/>
    <w:rsid w:val="000710CE"/>
    <w:rsid w:val="00081660"/>
    <w:rsid w:val="0008450C"/>
    <w:rsid w:val="000B36BA"/>
    <w:rsid w:val="000C42E6"/>
    <w:rsid w:val="000C566A"/>
    <w:rsid w:val="000E74A6"/>
    <w:rsid w:val="000F383D"/>
    <w:rsid w:val="00126B22"/>
    <w:rsid w:val="001557B7"/>
    <w:rsid w:val="00164178"/>
    <w:rsid w:val="001A0724"/>
    <w:rsid w:val="001A56A1"/>
    <w:rsid w:val="001B1D6B"/>
    <w:rsid w:val="001D1C9F"/>
    <w:rsid w:val="00204EF9"/>
    <w:rsid w:val="00211DEF"/>
    <w:rsid w:val="00216F6C"/>
    <w:rsid w:val="0022610A"/>
    <w:rsid w:val="002264AA"/>
    <w:rsid w:val="00230761"/>
    <w:rsid w:val="00234BE2"/>
    <w:rsid w:val="0024608C"/>
    <w:rsid w:val="00255C49"/>
    <w:rsid w:val="00260765"/>
    <w:rsid w:val="002607FA"/>
    <w:rsid w:val="002733C2"/>
    <w:rsid w:val="00275EB2"/>
    <w:rsid w:val="00292763"/>
    <w:rsid w:val="002944CA"/>
    <w:rsid w:val="00297F49"/>
    <w:rsid w:val="002A47F6"/>
    <w:rsid w:val="002A4D0B"/>
    <w:rsid w:val="002D3C22"/>
    <w:rsid w:val="00303E75"/>
    <w:rsid w:val="00323D52"/>
    <w:rsid w:val="00337B10"/>
    <w:rsid w:val="00344EC9"/>
    <w:rsid w:val="003611C5"/>
    <w:rsid w:val="00361F91"/>
    <w:rsid w:val="00372B45"/>
    <w:rsid w:val="003B0546"/>
    <w:rsid w:val="003B5D5B"/>
    <w:rsid w:val="003D7BE6"/>
    <w:rsid w:val="003E7D5E"/>
    <w:rsid w:val="003F05EE"/>
    <w:rsid w:val="004032EE"/>
    <w:rsid w:val="00421FAE"/>
    <w:rsid w:val="00447176"/>
    <w:rsid w:val="00451AD4"/>
    <w:rsid w:val="00456936"/>
    <w:rsid w:val="00487DFC"/>
    <w:rsid w:val="00492972"/>
    <w:rsid w:val="00496F39"/>
    <w:rsid w:val="004E0130"/>
    <w:rsid w:val="004E2DC8"/>
    <w:rsid w:val="004E7BE6"/>
    <w:rsid w:val="004F1D62"/>
    <w:rsid w:val="004F2D26"/>
    <w:rsid w:val="00510ABE"/>
    <w:rsid w:val="00512B42"/>
    <w:rsid w:val="00527237"/>
    <w:rsid w:val="005319D6"/>
    <w:rsid w:val="00553EE8"/>
    <w:rsid w:val="00557B55"/>
    <w:rsid w:val="00565971"/>
    <w:rsid w:val="00566007"/>
    <w:rsid w:val="00581364"/>
    <w:rsid w:val="00590B33"/>
    <w:rsid w:val="0059538B"/>
    <w:rsid w:val="005B2924"/>
    <w:rsid w:val="00602192"/>
    <w:rsid w:val="006158DB"/>
    <w:rsid w:val="0061641C"/>
    <w:rsid w:val="00626C56"/>
    <w:rsid w:val="00627B45"/>
    <w:rsid w:val="006324E6"/>
    <w:rsid w:val="00673E4F"/>
    <w:rsid w:val="00685C68"/>
    <w:rsid w:val="00685E31"/>
    <w:rsid w:val="00694A2A"/>
    <w:rsid w:val="006C588D"/>
    <w:rsid w:val="006D2788"/>
    <w:rsid w:val="006E1E19"/>
    <w:rsid w:val="00713776"/>
    <w:rsid w:val="007261ED"/>
    <w:rsid w:val="00732C40"/>
    <w:rsid w:val="007452FF"/>
    <w:rsid w:val="00777836"/>
    <w:rsid w:val="00781753"/>
    <w:rsid w:val="00785F3D"/>
    <w:rsid w:val="007A4F2D"/>
    <w:rsid w:val="007A775E"/>
    <w:rsid w:val="007A7FCD"/>
    <w:rsid w:val="007B08CB"/>
    <w:rsid w:val="007B64F2"/>
    <w:rsid w:val="007C42D1"/>
    <w:rsid w:val="007E4F45"/>
    <w:rsid w:val="007E58A7"/>
    <w:rsid w:val="008024AD"/>
    <w:rsid w:val="008156FF"/>
    <w:rsid w:val="00821855"/>
    <w:rsid w:val="008221F2"/>
    <w:rsid w:val="008228AD"/>
    <w:rsid w:val="00836CB1"/>
    <w:rsid w:val="0084128B"/>
    <w:rsid w:val="00847C0D"/>
    <w:rsid w:val="0085524B"/>
    <w:rsid w:val="00863396"/>
    <w:rsid w:val="008E5767"/>
    <w:rsid w:val="008F2642"/>
    <w:rsid w:val="008F63B0"/>
    <w:rsid w:val="00965881"/>
    <w:rsid w:val="00973627"/>
    <w:rsid w:val="00975668"/>
    <w:rsid w:val="0098165D"/>
    <w:rsid w:val="009B01E5"/>
    <w:rsid w:val="009D6949"/>
    <w:rsid w:val="00A0427E"/>
    <w:rsid w:val="00A1393F"/>
    <w:rsid w:val="00A20F3E"/>
    <w:rsid w:val="00A27B13"/>
    <w:rsid w:val="00A32285"/>
    <w:rsid w:val="00A46001"/>
    <w:rsid w:val="00A75157"/>
    <w:rsid w:val="00A81394"/>
    <w:rsid w:val="00A876CF"/>
    <w:rsid w:val="00AA5D04"/>
    <w:rsid w:val="00AB0FA5"/>
    <w:rsid w:val="00AB1682"/>
    <w:rsid w:val="00AB50E0"/>
    <w:rsid w:val="00AC1460"/>
    <w:rsid w:val="00AC3CD4"/>
    <w:rsid w:val="00AE3D1E"/>
    <w:rsid w:val="00B06468"/>
    <w:rsid w:val="00B26108"/>
    <w:rsid w:val="00B326A2"/>
    <w:rsid w:val="00B33C54"/>
    <w:rsid w:val="00B520D2"/>
    <w:rsid w:val="00B606A2"/>
    <w:rsid w:val="00B60990"/>
    <w:rsid w:val="00B62C6C"/>
    <w:rsid w:val="00B64393"/>
    <w:rsid w:val="00B6491E"/>
    <w:rsid w:val="00B911F0"/>
    <w:rsid w:val="00BA5098"/>
    <w:rsid w:val="00BD1EC6"/>
    <w:rsid w:val="00BD6748"/>
    <w:rsid w:val="00BE1B80"/>
    <w:rsid w:val="00BE4003"/>
    <w:rsid w:val="00C00FDB"/>
    <w:rsid w:val="00C215C2"/>
    <w:rsid w:val="00C222A6"/>
    <w:rsid w:val="00C41110"/>
    <w:rsid w:val="00C505E0"/>
    <w:rsid w:val="00C56FED"/>
    <w:rsid w:val="00C6313F"/>
    <w:rsid w:val="00C678DB"/>
    <w:rsid w:val="00CB2A1C"/>
    <w:rsid w:val="00D0574E"/>
    <w:rsid w:val="00D05FB6"/>
    <w:rsid w:val="00D15ED1"/>
    <w:rsid w:val="00D37D82"/>
    <w:rsid w:val="00D40A23"/>
    <w:rsid w:val="00D41D50"/>
    <w:rsid w:val="00D45BAF"/>
    <w:rsid w:val="00D54996"/>
    <w:rsid w:val="00D57486"/>
    <w:rsid w:val="00D62D3A"/>
    <w:rsid w:val="00D73476"/>
    <w:rsid w:val="00D8177B"/>
    <w:rsid w:val="00D93A48"/>
    <w:rsid w:val="00D94230"/>
    <w:rsid w:val="00DA7649"/>
    <w:rsid w:val="00DD4D64"/>
    <w:rsid w:val="00DD51BC"/>
    <w:rsid w:val="00DF676A"/>
    <w:rsid w:val="00E106C9"/>
    <w:rsid w:val="00E465A8"/>
    <w:rsid w:val="00E5098D"/>
    <w:rsid w:val="00E55160"/>
    <w:rsid w:val="00E60122"/>
    <w:rsid w:val="00E602B7"/>
    <w:rsid w:val="00E81D5C"/>
    <w:rsid w:val="00EB4DA0"/>
    <w:rsid w:val="00F139E5"/>
    <w:rsid w:val="00F17CC5"/>
    <w:rsid w:val="00F2312E"/>
    <w:rsid w:val="00F40EB9"/>
    <w:rsid w:val="00F668F9"/>
    <w:rsid w:val="00FB020B"/>
    <w:rsid w:val="00FC2D9C"/>
    <w:rsid w:val="00FF35FF"/>
    <w:rsid w:val="012E69FA"/>
    <w:rsid w:val="015A163A"/>
    <w:rsid w:val="01DA343F"/>
    <w:rsid w:val="03152A45"/>
    <w:rsid w:val="037F0B26"/>
    <w:rsid w:val="04FF0A57"/>
    <w:rsid w:val="05333456"/>
    <w:rsid w:val="059503E5"/>
    <w:rsid w:val="05A21A3D"/>
    <w:rsid w:val="05D709B3"/>
    <w:rsid w:val="06710E08"/>
    <w:rsid w:val="06826B71"/>
    <w:rsid w:val="07C20BED"/>
    <w:rsid w:val="08FD6983"/>
    <w:rsid w:val="09EE3807"/>
    <w:rsid w:val="0A7753AE"/>
    <w:rsid w:val="0AF338CE"/>
    <w:rsid w:val="0BDF2CAF"/>
    <w:rsid w:val="0BF00DA4"/>
    <w:rsid w:val="0EAE2CA8"/>
    <w:rsid w:val="0EEA6FBA"/>
    <w:rsid w:val="0EF02652"/>
    <w:rsid w:val="0F0C212E"/>
    <w:rsid w:val="0FFD6BE5"/>
    <w:rsid w:val="102F497A"/>
    <w:rsid w:val="108822C7"/>
    <w:rsid w:val="126A0881"/>
    <w:rsid w:val="129544B2"/>
    <w:rsid w:val="139C0D9D"/>
    <w:rsid w:val="13BB3FAB"/>
    <w:rsid w:val="13E44EDE"/>
    <w:rsid w:val="18B76B4E"/>
    <w:rsid w:val="19530D66"/>
    <w:rsid w:val="196A4DA8"/>
    <w:rsid w:val="19BC5BE6"/>
    <w:rsid w:val="19DC576F"/>
    <w:rsid w:val="1A355C22"/>
    <w:rsid w:val="1A5F06D7"/>
    <w:rsid w:val="1A7B1DFD"/>
    <w:rsid w:val="1ACC1559"/>
    <w:rsid w:val="1B09545F"/>
    <w:rsid w:val="1C7C757C"/>
    <w:rsid w:val="1CF2158A"/>
    <w:rsid w:val="1DBB4EF2"/>
    <w:rsid w:val="1DBC650F"/>
    <w:rsid w:val="1E1B0F42"/>
    <w:rsid w:val="1E4F1A12"/>
    <w:rsid w:val="1E6E1433"/>
    <w:rsid w:val="206F557C"/>
    <w:rsid w:val="21546AEE"/>
    <w:rsid w:val="21CA6472"/>
    <w:rsid w:val="22AA393E"/>
    <w:rsid w:val="23276141"/>
    <w:rsid w:val="23F2414E"/>
    <w:rsid w:val="2411348B"/>
    <w:rsid w:val="24161FB7"/>
    <w:rsid w:val="2458229A"/>
    <w:rsid w:val="2464469F"/>
    <w:rsid w:val="24C25007"/>
    <w:rsid w:val="25043F40"/>
    <w:rsid w:val="25ED784B"/>
    <w:rsid w:val="25F11009"/>
    <w:rsid w:val="262A7ACF"/>
    <w:rsid w:val="266F0A68"/>
    <w:rsid w:val="271D349F"/>
    <w:rsid w:val="277C62E7"/>
    <w:rsid w:val="2AF93139"/>
    <w:rsid w:val="2B2963D3"/>
    <w:rsid w:val="2BD61E29"/>
    <w:rsid w:val="2D1661A1"/>
    <w:rsid w:val="2D3628CB"/>
    <w:rsid w:val="2E095F27"/>
    <w:rsid w:val="2E287082"/>
    <w:rsid w:val="2E5C3FC8"/>
    <w:rsid w:val="2E6E18BF"/>
    <w:rsid w:val="2E884201"/>
    <w:rsid w:val="2F233B10"/>
    <w:rsid w:val="2F2C5770"/>
    <w:rsid w:val="2F535254"/>
    <w:rsid w:val="2F8A4D47"/>
    <w:rsid w:val="315E1161"/>
    <w:rsid w:val="31B27269"/>
    <w:rsid w:val="31C06C2B"/>
    <w:rsid w:val="32725D0C"/>
    <w:rsid w:val="331367BC"/>
    <w:rsid w:val="33B23A15"/>
    <w:rsid w:val="33F90104"/>
    <w:rsid w:val="34EE008B"/>
    <w:rsid w:val="34F30566"/>
    <w:rsid w:val="35173EF4"/>
    <w:rsid w:val="352B33FC"/>
    <w:rsid w:val="35805CB4"/>
    <w:rsid w:val="36550770"/>
    <w:rsid w:val="36CA3141"/>
    <w:rsid w:val="37B458FA"/>
    <w:rsid w:val="37C130EE"/>
    <w:rsid w:val="38593614"/>
    <w:rsid w:val="39301A51"/>
    <w:rsid w:val="3962419B"/>
    <w:rsid w:val="3A4103F8"/>
    <w:rsid w:val="3B4D2F6C"/>
    <w:rsid w:val="3B6F4ECC"/>
    <w:rsid w:val="3BF15DAC"/>
    <w:rsid w:val="3C912E01"/>
    <w:rsid w:val="3D146DDF"/>
    <w:rsid w:val="3D3325E2"/>
    <w:rsid w:val="3D6A45ED"/>
    <w:rsid w:val="3DA4759C"/>
    <w:rsid w:val="3DFE745B"/>
    <w:rsid w:val="3E2B711B"/>
    <w:rsid w:val="3E2D1012"/>
    <w:rsid w:val="3E48145F"/>
    <w:rsid w:val="3F734081"/>
    <w:rsid w:val="409018AF"/>
    <w:rsid w:val="40D257E7"/>
    <w:rsid w:val="40E94034"/>
    <w:rsid w:val="412709D8"/>
    <w:rsid w:val="41627833"/>
    <w:rsid w:val="416D419A"/>
    <w:rsid w:val="41E34CF4"/>
    <w:rsid w:val="421443FB"/>
    <w:rsid w:val="427239F0"/>
    <w:rsid w:val="433472CD"/>
    <w:rsid w:val="43426C26"/>
    <w:rsid w:val="434E7278"/>
    <w:rsid w:val="44C60E76"/>
    <w:rsid w:val="44E76487"/>
    <w:rsid w:val="4535060E"/>
    <w:rsid w:val="469B3D4F"/>
    <w:rsid w:val="469F284C"/>
    <w:rsid w:val="473A03ED"/>
    <w:rsid w:val="48000069"/>
    <w:rsid w:val="49565B7D"/>
    <w:rsid w:val="49B25227"/>
    <w:rsid w:val="4B863339"/>
    <w:rsid w:val="4BA42333"/>
    <w:rsid w:val="4CEE1CF2"/>
    <w:rsid w:val="4D25098E"/>
    <w:rsid w:val="4D77632F"/>
    <w:rsid w:val="4D8F310F"/>
    <w:rsid w:val="4DB0533F"/>
    <w:rsid w:val="4DDC66FE"/>
    <w:rsid w:val="4E7C3473"/>
    <w:rsid w:val="4FB81DC2"/>
    <w:rsid w:val="501778F7"/>
    <w:rsid w:val="50CF0D56"/>
    <w:rsid w:val="516C6AB8"/>
    <w:rsid w:val="51E8779D"/>
    <w:rsid w:val="52C021AE"/>
    <w:rsid w:val="532513C8"/>
    <w:rsid w:val="533613EF"/>
    <w:rsid w:val="5371335C"/>
    <w:rsid w:val="5389510F"/>
    <w:rsid w:val="544D38E7"/>
    <w:rsid w:val="54643684"/>
    <w:rsid w:val="54BD39A2"/>
    <w:rsid w:val="55224D7B"/>
    <w:rsid w:val="557863A7"/>
    <w:rsid w:val="56E97E3E"/>
    <w:rsid w:val="570E7256"/>
    <w:rsid w:val="59A549DC"/>
    <w:rsid w:val="5A825D4E"/>
    <w:rsid w:val="5BB838A1"/>
    <w:rsid w:val="5CA61950"/>
    <w:rsid w:val="5CDE5CFF"/>
    <w:rsid w:val="5CF501E7"/>
    <w:rsid w:val="5DD504C5"/>
    <w:rsid w:val="5E4E4400"/>
    <w:rsid w:val="5E5E67D4"/>
    <w:rsid w:val="5EAC2763"/>
    <w:rsid w:val="60BA47AE"/>
    <w:rsid w:val="61E26848"/>
    <w:rsid w:val="63B05371"/>
    <w:rsid w:val="63D92820"/>
    <w:rsid w:val="63E1229E"/>
    <w:rsid w:val="64917820"/>
    <w:rsid w:val="6688474A"/>
    <w:rsid w:val="66B670BA"/>
    <w:rsid w:val="670D5963"/>
    <w:rsid w:val="67411EF2"/>
    <w:rsid w:val="67562AAF"/>
    <w:rsid w:val="67C41429"/>
    <w:rsid w:val="684E60CA"/>
    <w:rsid w:val="685F15E7"/>
    <w:rsid w:val="6867089A"/>
    <w:rsid w:val="690540BF"/>
    <w:rsid w:val="698653EA"/>
    <w:rsid w:val="698F11EF"/>
    <w:rsid w:val="699B0761"/>
    <w:rsid w:val="69BE7719"/>
    <w:rsid w:val="6A0856B9"/>
    <w:rsid w:val="6A664098"/>
    <w:rsid w:val="6AD43DDA"/>
    <w:rsid w:val="6BB07235"/>
    <w:rsid w:val="6BCB7ABB"/>
    <w:rsid w:val="6C146FEA"/>
    <w:rsid w:val="6CE12E64"/>
    <w:rsid w:val="6CEA0C57"/>
    <w:rsid w:val="6D024D8C"/>
    <w:rsid w:val="6E5E1F70"/>
    <w:rsid w:val="6ECC7A0D"/>
    <w:rsid w:val="6F1150D6"/>
    <w:rsid w:val="706B18B9"/>
    <w:rsid w:val="709F0097"/>
    <w:rsid w:val="70EA395C"/>
    <w:rsid w:val="71C45194"/>
    <w:rsid w:val="71C64881"/>
    <w:rsid w:val="735B1691"/>
    <w:rsid w:val="7397006E"/>
    <w:rsid w:val="740D6797"/>
    <w:rsid w:val="748B756C"/>
    <w:rsid w:val="75CC49D7"/>
    <w:rsid w:val="76466098"/>
    <w:rsid w:val="76C539AC"/>
    <w:rsid w:val="77C35AEB"/>
    <w:rsid w:val="77FC6E05"/>
    <w:rsid w:val="789E738C"/>
    <w:rsid w:val="79715BD1"/>
    <w:rsid w:val="7A5944E4"/>
    <w:rsid w:val="7B983999"/>
    <w:rsid w:val="7C3A20F4"/>
    <w:rsid w:val="7C514E63"/>
    <w:rsid w:val="7CA25B04"/>
    <w:rsid w:val="7D2F5BB7"/>
    <w:rsid w:val="7DD03920"/>
    <w:rsid w:val="7DF33D62"/>
    <w:rsid w:val="7ED9015B"/>
    <w:rsid w:val="7F356D4B"/>
    <w:rsid w:val="7F6C6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3"/>
    <w:qFormat/>
    <w:uiPriority w:val="0"/>
    <w:pPr>
      <w:keepNext/>
      <w:keepLines/>
      <w:spacing w:before="340" w:after="330" w:line="578" w:lineRule="auto"/>
      <w:outlineLvl w:val="0"/>
    </w:pPr>
    <w:rPr>
      <w:rFonts w:ascii="Times New Roman" w:hAnsi="Times New Roman" w:eastAsia="宋体" w:cs="Times New Roman"/>
      <w:b/>
      <w:kern w:val="44"/>
      <w:sz w:val="44"/>
      <w:szCs w:val="20"/>
    </w:rPr>
  </w:style>
  <w:style w:type="paragraph" w:styleId="3">
    <w:name w:val="heading 2"/>
    <w:basedOn w:val="1"/>
    <w:next w:val="1"/>
    <w:link w:val="44"/>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5"/>
    <w:link w:val="45"/>
    <w:qFormat/>
    <w:uiPriority w:val="0"/>
    <w:pPr>
      <w:keepNext/>
      <w:keepLines/>
      <w:spacing w:before="260" w:after="260" w:line="416" w:lineRule="auto"/>
      <w:outlineLvl w:val="2"/>
    </w:pPr>
    <w:rPr>
      <w:rFonts w:ascii="Times New Roman" w:hAnsi="Times New Roman" w:eastAsia="宋体" w:cs="Times New Roman"/>
      <w:b/>
      <w:sz w:val="32"/>
      <w:szCs w:val="20"/>
    </w:rPr>
  </w:style>
  <w:style w:type="paragraph" w:styleId="6">
    <w:name w:val="heading 4"/>
    <w:basedOn w:val="1"/>
    <w:next w:val="1"/>
    <w:link w:val="46"/>
    <w:qFormat/>
    <w:uiPriority w:val="0"/>
    <w:pPr>
      <w:keepNext/>
      <w:keepLines/>
      <w:spacing w:before="280" w:after="290" w:line="376" w:lineRule="auto"/>
      <w:outlineLvl w:val="3"/>
    </w:pPr>
    <w:rPr>
      <w:rFonts w:ascii="Arial" w:hAnsi="Arial" w:eastAsia="黑体" w:cs="Times New Roman"/>
      <w:b/>
      <w:bCs/>
      <w:sz w:val="28"/>
      <w:szCs w:val="28"/>
    </w:rPr>
  </w:style>
  <w:style w:type="paragraph" w:styleId="7">
    <w:name w:val="heading 5"/>
    <w:basedOn w:val="1"/>
    <w:next w:val="1"/>
    <w:link w:val="47"/>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8">
    <w:name w:val="heading 6"/>
    <w:basedOn w:val="1"/>
    <w:next w:val="1"/>
    <w:link w:val="48"/>
    <w:qFormat/>
    <w:uiPriority w:val="0"/>
    <w:pPr>
      <w:keepNext/>
      <w:keepLines/>
      <w:spacing w:before="240" w:after="64" w:line="320" w:lineRule="auto"/>
      <w:outlineLvl w:val="5"/>
    </w:pPr>
    <w:rPr>
      <w:rFonts w:ascii="Arial" w:hAnsi="Arial" w:eastAsia="黑体" w:cs="Times New Roman"/>
      <w:b/>
      <w:bCs/>
      <w:sz w:val="24"/>
      <w:szCs w:val="24"/>
    </w:rPr>
  </w:style>
  <w:style w:type="paragraph" w:styleId="9">
    <w:name w:val="heading 7"/>
    <w:basedOn w:val="1"/>
    <w:next w:val="1"/>
    <w:link w:val="49"/>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10">
    <w:name w:val="heading 8"/>
    <w:basedOn w:val="1"/>
    <w:next w:val="1"/>
    <w:link w:val="50"/>
    <w:qFormat/>
    <w:uiPriority w:val="0"/>
    <w:pPr>
      <w:keepNext/>
      <w:keepLines/>
      <w:spacing w:before="240" w:after="64" w:line="320" w:lineRule="auto"/>
      <w:outlineLvl w:val="7"/>
    </w:pPr>
    <w:rPr>
      <w:rFonts w:ascii="Arial" w:hAnsi="Arial" w:eastAsia="黑体" w:cs="Times New Roman"/>
      <w:sz w:val="24"/>
      <w:szCs w:val="24"/>
    </w:rPr>
  </w:style>
  <w:style w:type="paragraph" w:styleId="11">
    <w:name w:val="heading 9"/>
    <w:basedOn w:val="1"/>
    <w:next w:val="1"/>
    <w:link w:val="51"/>
    <w:qFormat/>
    <w:uiPriority w:val="0"/>
    <w:pPr>
      <w:keepNext/>
      <w:keepLines/>
      <w:spacing w:before="240" w:after="64" w:line="320" w:lineRule="auto"/>
      <w:outlineLvl w:val="8"/>
    </w:pPr>
    <w:rPr>
      <w:rFonts w:ascii="Arial" w:hAnsi="Arial" w:eastAsia="黑体" w:cs="Times New Roman"/>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pPr>
    <w:rPr>
      <w:rFonts w:ascii="Times New Roman" w:hAnsi="Times New Roman" w:eastAsia="宋体" w:cs="Times New Roman"/>
      <w:szCs w:val="20"/>
    </w:rPr>
  </w:style>
  <w:style w:type="paragraph" w:styleId="12">
    <w:name w:val="Document Map"/>
    <w:basedOn w:val="1"/>
    <w:link w:val="204"/>
    <w:qFormat/>
    <w:uiPriority w:val="0"/>
    <w:rPr>
      <w:rFonts w:ascii="宋体" w:hAnsi="Times New Roman" w:eastAsia="宋体" w:cs="Times New Roman"/>
      <w:sz w:val="18"/>
      <w:szCs w:val="18"/>
    </w:rPr>
  </w:style>
  <w:style w:type="paragraph" w:styleId="13">
    <w:name w:val="annotation text"/>
    <w:basedOn w:val="1"/>
    <w:link w:val="127"/>
    <w:semiHidden/>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14">
    <w:name w:val="Body Text 3"/>
    <w:basedOn w:val="1"/>
    <w:link w:val="177"/>
    <w:qFormat/>
    <w:uiPriority w:val="0"/>
    <w:rPr>
      <w:rFonts w:ascii="Times New Roman" w:hAnsi="Times New Roman" w:eastAsia="宋体" w:cs="Times New Roman"/>
      <w:sz w:val="48"/>
      <w:szCs w:val="48"/>
    </w:rPr>
  </w:style>
  <w:style w:type="paragraph" w:styleId="15">
    <w:name w:val="Body Text"/>
    <w:basedOn w:val="1"/>
    <w:link w:val="104"/>
    <w:qFormat/>
    <w:uiPriority w:val="0"/>
    <w:pPr>
      <w:spacing w:after="120"/>
    </w:pPr>
    <w:rPr>
      <w:rFonts w:ascii="Times New Roman" w:hAnsi="Times New Roman" w:eastAsia="宋体" w:cs="Times New Roman"/>
      <w:szCs w:val="20"/>
    </w:rPr>
  </w:style>
  <w:style w:type="paragraph" w:styleId="16">
    <w:name w:val="Body Text Indent"/>
    <w:basedOn w:val="1"/>
    <w:link w:val="105"/>
    <w:qFormat/>
    <w:uiPriority w:val="0"/>
    <w:pPr>
      <w:spacing w:after="120"/>
      <w:ind w:left="420" w:leftChars="200"/>
    </w:pPr>
    <w:rPr>
      <w:rFonts w:ascii="Times New Roman" w:hAnsi="Times New Roman" w:eastAsia="宋体" w:cs="Times New Roman"/>
      <w:szCs w:val="20"/>
    </w:rPr>
  </w:style>
  <w:style w:type="paragraph" w:styleId="17">
    <w:name w:val="Block Text"/>
    <w:basedOn w:val="1"/>
    <w:qFormat/>
    <w:uiPriority w:val="0"/>
    <w:pPr>
      <w:adjustRightInd w:val="0"/>
      <w:spacing w:line="360" w:lineRule="atLeast"/>
      <w:ind w:left="87" w:leftChars="36" w:right="140" w:hanging="1"/>
      <w:jc w:val="left"/>
      <w:textAlignment w:val="baseline"/>
    </w:pPr>
    <w:rPr>
      <w:rFonts w:ascii="Times New Roman" w:hAnsi="Times New Roman" w:eastAsia="宋体" w:cs="Times New Roman"/>
      <w:kern w:val="0"/>
      <w:szCs w:val="21"/>
    </w:rPr>
  </w:style>
  <w:style w:type="paragraph" w:styleId="18">
    <w:name w:val="Plain Text"/>
    <w:basedOn w:val="1"/>
    <w:link w:val="53"/>
    <w:qFormat/>
    <w:uiPriority w:val="0"/>
    <w:rPr>
      <w:rFonts w:ascii="宋体" w:hAnsi="Courier New" w:eastAsia="宋体" w:cs="Times New Roman"/>
      <w:szCs w:val="20"/>
    </w:rPr>
  </w:style>
  <w:style w:type="paragraph" w:styleId="19">
    <w:name w:val="Date"/>
    <w:basedOn w:val="1"/>
    <w:next w:val="1"/>
    <w:link w:val="54"/>
    <w:qFormat/>
    <w:uiPriority w:val="0"/>
    <w:rPr>
      <w:rFonts w:ascii="宋体" w:hAnsi="Times New Roman" w:eastAsia="宋体" w:cs="Times New Roman"/>
      <w:b/>
      <w:sz w:val="36"/>
      <w:szCs w:val="20"/>
    </w:rPr>
  </w:style>
  <w:style w:type="paragraph" w:styleId="20">
    <w:name w:val="Body Text Indent 2"/>
    <w:basedOn w:val="1"/>
    <w:link w:val="111"/>
    <w:qFormat/>
    <w:uiPriority w:val="0"/>
    <w:pPr>
      <w:snapToGrid w:val="0"/>
      <w:spacing w:line="360" w:lineRule="atLeast"/>
      <w:ind w:firstLine="630"/>
    </w:pPr>
    <w:rPr>
      <w:rFonts w:ascii="华文仿宋" w:hAnsi="华文仿宋" w:eastAsia="华文仿宋" w:cs="Times New Roman"/>
      <w:sz w:val="32"/>
      <w:szCs w:val="20"/>
    </w:rPr>
  </w:style>
  <w:style w:type="paragraph" w:styleId="21">
    <w:name w:val="Balloon Text"/>
    <w:basedOn w:val="1"/>
    <w:link w:val="112"/>
    <w:semiHidden/>
    <w:qFormat/>
    <w:uiPriority w:val="0"/>
    <w:rPr>
      <w:rFonts w:ascii="Times New Roman" w:hAnsi="Times New Roman" w:eastAsia="宋体" w:cs="Times New Roman"/>
      <w:sz w:val="18"/>
      <w:szCs w:val="18"/>
    </w:rPr>
  </w:style>
  <w:style w:type="paragraph" w:styleId="22">
    <w:name w:val="footer"/>
    <w:basedOn w:val="1"/>
    <w:link w:val="42"/>
    <w:unhideWhenUsed/>
    <w:qFormat/>
    <w:uiPriority w:val="99"/>
    <w:pPr>
      <w:tabs>
        <w:tab w:val="center" w:pos="4153"/>
        <w:tab w:val="right" w:pos="8306"/>
      </w:tabs>
      <w:snapToGrid w:val="0"/>
      <w:jc w:val="left"/>
    </w:pPr>
    <w:rPr>
      <w:sz w:val="18"/>
      <w:szCs w:val="18"/>
    </w:rPr>
  </w:style>
  <w:style w:type="paragraph" w:styleId="23">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Subtitle"/>
    <w:basedOn w:val="1"/>
    <w:link w:val="106"/>
    <w:qFormat/>
    <w:uiPriority w:val="0"/>
    <w:pPr>
      <w:spacing w:before="240" w:after="60" w:line="312" w:lineRule="auto"/>
      <w:jc w:val="center"/>
      <w:outlineLvl w:val="1"/>
    </w:pPr>
    <w:rPr>
      <w:rFonts w:ascii="Arial" w:hAnsi="Arial" w:eastAsia="宋体" w:cs="Arial"/>
      <w:b/>
      <w:bCs/>
      <w:kern w:val="28"/>
      <w:sz w:val="32"/>
      <w:szCs w:val="32"/>
    </w:rPr>
  </w:style>
  <w:style w:type="paragraph" w:styleId="25">
    <w:name w:val="List"/>
    <w:basedOn w:val="1"/>
    <w:qFormat/>
    <w:uiPriority w:val="0"/>
    <w:pPr>
      <w:ind w:left="200" w:hanging="200" w:hangingChars="200"/>
    </w:pPr>
    <w:rPr>
      <w:rFonts w:ascii="Times New Roman" w:hAnsi="Times New Roman" w:eastAsia="宋体" w:cs="Times New Roman"/>
      <w:szCs w:val="20"/>
    </w:rPr>
  </w:style>
  <w:style w:type="paragraph" w:styleId="26">
    <w:name w:val="Body Text Indent 3"/>
    <w:basedOn w:val="1"/>
    <w:link w:val="113"/>
    <w:qFormat/>
    <w:uiPriority w:val="0"/>
    <w:pPr>
      <w:spacing w:line="360" w:lineRule="auto"/>
      <w:ind w:left="840"/>
    </w:pPr>
    <w:rPr>
      <w:rFonts w:ascii="华文仿宋" w:hAnsi="华文仿宋" w:eastAsia="华文仿宋" w:cs="Times New Roman"/>
      <w:sz w:val="24"/>
      <w:szCs w:val="20"/>
    </w:rPr>
  </w:style>
  <w:style w:type="paragraph" w:styleId="27">
    <w:name w:val="Body Text 2"/>
    <w:basedOn w:val="1"/>
    <w:link w:val="107"/>
    <w:qFormat/>
    <w:uiPriority w:val="0"/>
    <w:pPr>
      <w:jc w:val="center"/>
    </w:pPr>
    <w:rPr>
      <w:rFonts w:ascii="楷体_GB2312" w:hAnsi="Times New Roman" w:eastAsia="楷体_GB2312" w:cs="Times New Roman"/>
      <w:b/>
      <w:sz w:val="72"/>
      <w:szCs w:val="20"/>
    </w:rPr>
  </w:style>
  <w:style w:type="paragraph" w:styleId="28">
    <w:name w:val="HTML Preformatted"/>
    <w:basedOn w:val="1"/>
    <w:link w:val="20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29">
    <w:name w:val="Normal (Web)"/>
    <w:basedOn w:val="1"/>
    <w:qFormat/>
    <w:uiPriority w:val="0"/>
    <w:rPr>
      <w:sz w:val="24"/>
    </w:rPr>
  </w:style>
  <w:style w:type="paragraph" w:styleId="30">
    <w:name w:val="Title"/>
    <w:basedOn w:val="1"/>
    <w:link w:val="134"/>
    <w:qFormat/>
    <w:uiPriority w:val="0"/>
    <w:pPr>
      <w:spacing w:before="240" w:after="60"/>
      <w:jc w:val="center"/>
      <w:outlineLvl w:val="0"/>
    </w:pPr>
    <w:rPr>
      <w:rFonts w:ascii="Arial" w:hAnsi="Arial" w:eastAsia="黑体" w:cs="Times New Roman"/>
      <w:b/>
      <w:sz w:val="36"/>
      <w:szCs w:val="20"/>
    </w:rPr>
  </w:style>
  <w:style w:type="paragraph" w:styleId="31">
    <w:name w:val="annotation subject"/>
    <w:basedOn w:val="13"/>
    <w:next w:val="13"/>
    <w:link w:val="178"/>
    <w:qFormat/>
    <w:uiPriority w:val="0"/>
    <w:pPr>
      <w:adjustRightInd/>
      <w:spacing w:line="240" w:lineRule="auto"/>
      <w:textAlignment w:val="auto"/>
    </w:pPr>
    <w:rPr>
      <w:b/>
      <w:bCs/>
      <w:kern w:val="2"/>
      <w:sz w:val="21"/>
      <w:szCs w:val="24"/>
    </w:rPr>
  </w:style>
  <w:style w:type="table" w:styleId="33">
    <w:name w:val="Table Grid"/>
    <w:basedOn w:val="32"/>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35">
    <w:name w:val="Strong"/>
    <w:qFormat/>
    <w:uiPriority w:val="0"/>
    <w:rPr>
      <w:b/>
    </w:rPr>
  </w:style>
  <w:style w:type="character" w:styleId="36">
    <w:name w:val="page number"/>
    <w:basedOn w:val="34"/>
    <w:qFormat/>
    <w:uiPriority w:val="0"/>
  </w:style>
  <w:style w:type="character" w:styleId="37">
    <w:name w:val="FollowedHyperlink"/>
    <w:basedOn w:val="34"/>
    <w:semiHidden/>
    <w:unhideWhenUsed/>
    <w:qFormat/>
    <w:uiPriority w:val="99"/>
    <w:rPr>
      <w:color w:val="954F72" w:themeColor="followedHyperlink"/>
      <w:u w:val="single"/>
      <w14:textFill>
        <w14:solidFill>
          <w14:schemeClr w14:val="folHlink"/>
        </w14:solidFill>
      </w14:textFill>
    </w:rPr>
  </w:style>
  <w:style w:type="character" w:styleId="38">
    <w:name w:val="Emphasis"/>
    <w:basedOn w:val="34"/>
    <w:qFormat/>
    <w:uiPriority w:val="20"/>
    <w:rPr>
      <w:i/>
    </w:rPr>
  </w:style>
  <w:style w:type="character" w:styleId="39">
    <w:name w:val="Hyperlink"/>
    <w:qFormat/>
    <w:uiPriority w:val="0"/>
    <w:rPr>
      <w:color w:val="0000FF"/>
      <w:u w:val="single"/>
    </w:rPr>
  </w:style>
  <w:style w:type="character" w:styleId="40">
    <w:name w:val="annotation reference"/>
    <w:qFormat/>
    <w:uiPriority w:val="0"/>
    <w:rPr>
      <w:sz w:val="21"/>
      <w:szCs w:val="21"/>
    </w:rPr>
  </w:style>
  <w:style w:type="character" w:customStyle="1" w:styleId="41">
    <w:name w:val="页眉 Char1"/>
    <w:basedOn w:val="34"/>
    <w:link w:val="23"/>
    <w:qFormat/>
    <w:uiPriority w:val="99"/>
    <w:rPr>
      <w:sz w:val="18"/>
      <w:szCs w:val="18"/>
    </w:rPr>
  </w:style>
  <w:style w:type="character" w:customStyle="1" w:styleId="42">
    <w:name w:val="页脚 Char1"/>
    <w:basedOn w:val="34"/>
    <w:link w:val="22"/>
    <w:qFormat/>
    <w:uiPriority w:val="99"/>
    <w:rPr>
      <w:sz w:val="18"/>
      <w:szCs w:val="18"/>
    </w:rPr>
  </w:style>
  <w:style w:type="character" w:customStyle="1" w:styleId="43">
    <w:name w:val="标题 1 Char"/>
    <w:basedOn w:val="34"/>
    <w:link w:val="2"/>
    <w:qFormat/>
    <w:uiPriority w:val="0"/>
    <w:rPr>
      <w:rFonts w:ascii="Times New Roman" w:hAnsi="Times New Roman" w:eastAsia="宋体" w:cs="Times New Roman"/>
      <w:b/>
      <w:kern w:val="44"/>
      <w:sz w:val="44"/>
      <w:szCs w:val="20"/>
    </w:rPr>
  </w:style>
  <w:style w:type="character" w:customStyle="1" w:styleId="44">
    <w:name w:val="标题 2 Char"/>
    <w:basedOn w:val="34"/>
    <w:link w:val="3"/>
    <w:qFormat/>
    <w:uiPriority w:val="0"/>
    <w:rPr>
      <w:rFonts w:ascii="Arial" w:hAnsi="Arial" w:eastAsia="黑体" w:cs="Times New Roman"/>
      <w:b/>
      <w:bCs/>
      <w:sz w:val="32"/>
      <w:szCs w:val="32"/>
    </w:rPr>
  </w:style>
  <w:style w:type="character" w:customStyle="1" w:styleId="45">
    <w:name w:val="标题 3 Char"/>
    <w:basedOn w:val="34"/>
    <w:link w:val="4"/>
    <w:qFormat/>
    <w:uiPriority w:val="0"/>
    <w:rPr>
      <w:rFonts w:ascii="Times New Roman" w:hAnsi="Times New Roman" w:eastAsia="宋体" w:cs="Times New Roman"/>
      <w:b/>
      <w:sz w:val="32"/>
      <w:szCs w:val="20"/>
    </w:rPr>
  </w:style>
  <w:style w:type="character" w:customStyle="1" w:styleId="46">
    <w:name w:val="标题 4 Char"/>
    <w:basedOn w:val="34"/>
    <w:link w:val="6"/>
    <w:qFormat/>
    <w:uiPriority w:val="0"/>
    <w:rPr>
      <w:rFonts w:ascii="Arial" w:hAnsi="Arial" w:eastAsia="黑体" w:cs="Times New Roman"/>
      <w:b/>
      <w:bCs/>
      <w:sz w:val="28"/>
      <w:szCs w:val="28"/>
    </w:rPr>
  </w:style>
  <w:style w:type="character" w:customStyle="1" w:styleId="47">
    <w:name w:val="标题 5 Char"/>
    <w:basedOn w:val="34"/>
    <w:link w:val="7"/>
    <w:qFormat/>
    <w:uiPriority w:val="0"/>
    <w:rPr>
      <w:rFonts w:ascii="Times New Roman" w:hAnsi="Times New Roman" w:eastAsia="宋体" w:cs="Times New Roman"/>
      <w:b/>
      <w:bCs/>
      <w:sz w:val="28"/>
      <w:szCs w:val="28"/>
    </w:rPr>
  </w:style>
  <w:style w:type="character" w:customStyle="1" w:styleId="48">
    <w:name w:val="标题 6 Char"/>
    <w:basedOn w:val="34"/>
    <w:link w:val="8"/>
    <w:qFormat/>
    <w:uiPriority w:val="0"/>
    <w:rPr>
      <w:rFonts w:ascii="Arial" w:hAnsi="Arial" w:eastAsia="黑体" w:cs="Times New Roman"/>
      <w:b/>
      <w:bCs/>
      <w:sz w:val="24"/>
      <w:szCs w:val="24"/>
    </w:rPr>
  </w:style>
  <w:style w:type="character" w:customStyle="1" w:styleId="49">
    <w:name w:val="标题 7 Char"/>
    <w:basedOn w:val="34"/>
    <w:link w:val="9"/>
    <w:qFormat/>
    <w:uiPriority w:val="0"/>
    <w:rPr>
      <w:rFonts w:ascii="Times New Roman" w:hAnsi="Times New Roman" w:eastAsia="宋体" w:cs="Times New Roman"/>
      <w:b/>
      <w:bCs/>
      <w:sz w:val="24"/>
      <w:szCs w:val="24"/>
    </w:rPr>
  </w:style>
  <w:style w:type="character" w:customStyle="1" w:styleId="50">
    <w:name w:val="标题 8 Char"/>
    <w:basedOn w:val="34"/>
    <w:link w:val="10"/>
    <w:qFormat/>
    <w:uiPriority w:val="0"/>
    <w:rPr>
      <w:rFonts w:ascii="Arial" w:hAnsi="Arial" w:eastAsia="黑体" w:cs="Times New Roman"/>
      <w:sz w:val="24"/>
      <w:szCs w:val="24"/>
    </w:rPr>
  </w:style>
  <w:style w:type="character" w:customStyle="1" w:styleId="51">
    <w:name w:val="标题 9 Char"/>
    <w:basedOn w:val="34"/>
    <w:link w:val="11"/>
    <w:qFormat/>
    <w:uiPriority w:val="0"/>
    <w:rPr>
      <w:rFonts w:ascii="Arial" w:hAnsi="Arial" w:eastAsia="黑体" w:cs="Times New Roman"/>
      <w:szCs w:val="21"/>
    </w:rPr>
  </w:style>
  <w:style w:type="paragraph" w:customStyle="1" w:styleId="52">
    <w:name w:val="Char2 Char Char Char"/>
    <w:basedOn w:val="1"/>
    <w:qFormat/>
    <w:uiPriority w:val="0"/>
    <w:pPr>
      <w:adjustRightInd w:val="0"/>
      <w:spacing w:line="360" w:lineRule="auto"/>
    </w:pPr>
    <w:rPr>
      <w:rFonts w:ascii="Times New Roman" w:hAnsi="Times New Roman" w:eastAsia="宋体" w:cs="Times New Roman"/>
      <w:kern w:val="0"/>
      <w:sz w:val="24"/>
      <w:szCs w:val="20"/>
    </w:rPr>
  </w:style>
  <w:style w:type="character" w:customStyle="1" w:styleId="53">
    <w:name w:val="纯文本 Char"/>
    <w:basedOn w:val="34"/>
    <w:link w:val="18"/>
    <w:qFormat/>
    <w:uiPriority w:val="0"/>
    <w:rPr>
      <w:rFonts w:ascii="宋体" w:hAnsi="Courier New" w:eastAsia="宋体" w:cs="Times New Roman"/>
      <w:szCs w:val="20"/>
    </w:rPr>
  </w:style>
  <w:style w:type="character" w:customStyle="1" w:styleId="54">
    <w:name w:val="日期 Char"/>
    <w:basedOn w:val="34"/>
    <w:link w:val="19"/>
    <w:qFormat/>
    <w:uiPriority w:val="0"/>
    <w:rPr>
      <w:rFonts w:ascii="宋体" w:hAnsi="Times New Roman" w:eastAsia="宋体" w:cs="Times New Roman"/>
      <w:b/>
      <w:sz w:val="36"/>
      <w:szCs w:val="20"/>
    </w:rPr>
  </w:style>
  <w:style w:type="paragraph" w:customStyle="1" w:styleId="55">
    <w:name w:val="_Style 32"/>
    <w:basedOn w:val="1"/>
    <w:next w:val="56"/>
    <w:qFormat/>
    <w:uiPriority w:val="0"/>
    <w:pPr>
      <w:ind w:firstLine="420" w:firstLineChars="200"/>
    </w:pPr>
    <w:rPr>
      <w:rFonts w:ascii="Times New Roman" w:hAnsi="Times New Roman" w:eastAsia="宋体" w:cs="Times New Roman"/>
      <w:szCs w:val="21"/>
    </w:rPr>
  </w:style>
  <w:style w:type="paragraph" w:styleId="56">
    <w:name w:val="List Paragraph"/>
    <w:basedOn w:val="1"/>
    <w:qFormat/>
    <w:uiPriority w:val="34"/>
    <w:pPr>
      <w:ind w:firstLine="420" w:firstLineChars="200"/>
    </w:pPr>
  </w:style>
  <w:style w:type="paragraph" w:customStyle="1" w:styleId="57">
    <w:name w:val="itb"/>
    <w:basedOn w:val="4"/>
    <w:qFormat/>
    <w:uiPriority w:val="0"/>
    <w:pPr>
      <w:jc w:val="center"/>
    </w:pPr>
    <w:rPr>
      <w:rFonts w:ascii="楷体_GB2312" w:eastAsia="楷体_GB2312"/>
      <w:sz w:val="36"/>
    </w:rPr>
  </w:style>
  <w:style w:type="paragraph" w:customStyle="1" w:styleId="58">
    <w:name w:val="itb0"/>
    <w:basedOn w:val="57"/>
    <w:qFormat/>
    <w:uiPriority w:val="0"/>
    <w:pPr>
      <w:autoSpaceDE w:val="0"/>
      <w:autoSpaceDN w:val="0"/>
      <w:spacing w:before="240" w:after="240" w:line="360" w:lineRule="exact"/>
      <w:ind w:left="525" w:hanging="525"/>
      <w:jc w:val="left"/>
    </w:pPr>
    <w:rPr>
      <w:rFonts w:ascii="Times New Roman" w:eastAsia="华文仿宋"/>
      <w:spacing w:val="8"/>
      <w:sz w:val="24"/>
    </w:rPr>
  </w:style>
  <w:style w:type="paragraph" w:customStyle="1" w:styleId="59">
    <w:name w:val="itb1"/>
    <w:basedOn w:val="5"/>
    <w:qFormat/>
    <w:uiPriority w:val="0"/>
    <w:pPr>
      <w:autoSpaceDE w:val="0"/>
      <w:autoSpaceDN w:val="0"/>
      <w:spacing w:before="120" w:after="120" w:line="360" w:lineRule="exact"/>
      <w:ind w:left="525" w:hanging="527"/>
    </w:pPr>
    <w:rPr>
      <w:rFonts w:eastAsia="华文仿宋"/>
      <w:b/>
      <w:bCs/>
      <w:sz w:val="24"/>
    </w:rPr>
  </w:style>
  <w:style w:type="paragraph" w:customStyle="1" w:styleId="60">
    <w:name w:val="itb2"/>
    <w:basedOn w:val="5"/>
    <w:qFormat/>
    <w:uiPriority w:val="0"/>
    <w:pPr>
      <w:autoSpaceDE w:val="0"/>
      <w:autoSpaceDN w:val="0"/>
      <w:spacing w:before="120" w:after="120" w:line="400" w:lineRule="exact"/>
      <w:ind w:left="527" w:hanging="527"/>
    </w:pPr>
    <w:rPr>
      <w:rFonts w:eastAsia="华文仿宋"/>
      <w:sz w:val="24"/>
    </w:rPr>
  </w:style>
  <w:style w:type="paragraph" w:customStyle="1" w:styleId="61">
    <w:name w:val="itb3"/>
    <w:basedOn w:val="5"/>
    <w:qFormat/>
    <w:uiPriority w:val="0"/>
    <w:pPr>
      <w:autoSpaceDE w:val="0"/>
      <w:autoSpaceDN w:val="0"/>
      <w:spacing w:beforeLines="50" w:afterLines="50" w:line="360" w:lineRule="exact"/>
      <w:ind w:left="845" w:hanging="318"/>
    </w:pPr>
    <w:rPr>
      <w:rFonts w:eastAsia="华文仿宋"/>
      <w:sz w:val="24"/>
    </w:rPr>
  </w:style>
  <w:style w:type="paragraph" w:customStyle="1" w:styleId="62">
    <w:name w:val="itb4"/>
    <w:basedOn w:val="5"/>
    <w:qFormat/>
    <w:uiPriority w:val="0"/>
    <w:pPr>
      <w:autoSpaceDE w:val="0"/>
      <w:autoSpaceDN w:val="0"/>
      <w:spacing w:before="60" w:after="60" w:line="360" w:lineRule="exact"/>
      <w:ind w:left="1576" w:hanging="527"/>
    </w:pPr>
    <w:rPr>
      <w:rFonts w:eastAsia="华文仿宋"/>
      <w:sz w:val="24"/>
    </w:rPr>
  </w:style>
  <w:style w:type="paragraph" w:customStyle="1" w:styleId="63">
    <w:name w:val="itb5"/>
    <w:basedOn w:val="5"/>
    <w:qFormat/>
    <w:uiPriority w:val="0"/>
    <w:pPr>
      <w:autoSpaceDE w:val="0"/>
      <w:autoSpaceDN w:val="0"/>
      <w:spacing w:line="360" w:lineRule="exact"/>
      <w:ind w:left="1996" w:hanging="420"/>
    </w:pPr>
    <w:rPr>
      <w:rFonts w:eastAsia="华文仿宋"/>
      <w:spacing w:val="6"/>
      <w:sz w:val="24"/>
    </w:rPr>
  </w:style>
  <w:style w:type="paragraph" w:customStyle="1" w:styleId="64">
    <w:name w:val="itb3t"/>
    <w:basedOn w:val="60"/>
    <w:qFormat/>
    <w:uiPriority w:val="0"/>
    <w:pPr>
      <w:ind w:left="1785" w:firstLine="0"/>
    </w:pPr>
  </w:style>
  <w:style w:type="paragraph" w:customStyle="1" w:styleId="65">
    <w:name w:val="gcc"/>
    <w:basedOn w:val="57"/>
    <w:qFormat/>
    <w:uiPriority w:val="0"/>
  </w:style>
  <w:style w:type="paragraph" w:customStyle="1" w:styleId="66">
    <w:name w:val="gcc0"/>
    <w:basedOn w:val="58"/>
    <w:qFormat/>
    <w:uiPriority w:val="0"/>
  </w:style>
  <w:style w:type="paragraph" w:customStyle="1" w:styleId="67">
    <w:name w:val="gcc1"/>
    <w:basedOn w:val="59"/>
    <w:qFormat/>
    <w:uiPriority w:val="0"/>
    <w:pPr>
      <w:ind w:left="527"/>
    </w:pPr>
  </w:style>
  <w:style w:type="paragraph" w:customStyle="1" w:styleId="68">
    <w:name w:val="gcc1t"/>
    <w:basedOn w:val="5"/>
    <w:qFormat/>
    <w:uiPriority w:val="0"/>
    <w:pPr>
      <w:spacing w:line="360" w:lineRule="auto"/>
      <w:ind w:left="525" w:firstLine="0"/>
    </w:pPr>
    <w:rPr>
      <w:rFonts w:eastAsia="楷体_GB2312"/>
      <w:sz w:val="24"/>
    </w:rPr>
  </w:style>
  <w:style w:type="paragraph" w:customStyle="1" w:styleId="69">
    <w:name w:val="gcc2"/>
    <w:basedOn w:val="60"/>
    <w:qFormat/>
    <w:uiPriority w:val="0"/>
    <w:pPr>
      <w:ind w:left="525" w:hanging="525"/>
    </w:pPr>
  </w:style>
  <w:style w:type="paragraph" w:customStyle="1" w:styleId="70">
    <w:name w:val="gcc3"/>
    <w:basedOn w:val="61"/>
    <w:qFormat/>
    <w:uiPriority w:val="0"/>
    <w:pPr>
      <w:ind w:left="947" w:hanging="420"/>
    </w:pPr>
    <w:rPr>
      <w:spacing w:val="6"/>
    </w:rPr>
  </w:style>
  <w:style w:type="paragraph" w:customStyle="1" w:styleId="71">
    <w:name w:val="gcc4t"/>
    <w:basedOn w:val="70"/>
    <w:qFormat/>
    <w:uiPriority w:val="0"/>
    <w:pPr>
      <w:ind w:left="945" w:firstLine="0"/>
    </w:pPr>
  </w:style>
  <w:style w:type="paragraph" w:customStyle="1" w:styleId="72">
    <w:name w:val="gcc4"/>
    <w:basedOn w:val="62"/>
    <w:qFormat/>
    <w:uiPriority w:val="0"/>
    <w:pPr>
      <w:ind w:left="945" w:hanging="420"/>
    </w:pPr>
  </w:style>
  <w:style w:type="paragraph" w:customStyle="1" w:styleId="73">
    <w:name w:val="cf"/>
    <w:basedOn w:val="57"/>
    <w:qFormat/>
    <w:uiPriority w:val="0"/>
    <w:pPr>
      <w:spacing w:before="0" w:after="0" w:line="415" w:lineRule="auto"/>
    </w:pPr>
  </w:style>
  <w:style w:type="paragraph" w:customStyle="1" w:styleId="74">
    <w:name w:val="cft"/>
    <w:basedOn w:val="68"/>
    <w:qFormat/>
    <w:uiPriority w:val="0"/>
    <w:pPr>
      <w:ind w:left="0"/>
    </w:pPr>
  </w:style>
  <w:style w:type="paragraph" w:customStyle="1" w:styleId="75">
    <w:name w:val="cf1"/>
    <w:basedOn w:val="59"/>
    <w:qFormat/>
    <w:uiPriority w:val="0"/>
    <w:rPr>
      <w:b w:val="0"/>
      <w:bCs w:val="0"/>
    </w:rPr>
  </w:style>
  <w:style w:type="paragraph" w:customStyle="1" w:styleId="76">
    <w:name w:val="cf2"/>
    <w:basedOn w:val="69"/>
    <w:qFormat/>
    <w:uiPriority w:val="0"/>
  </w:style>
  <w:style w:type="paragraph" w:customStyle="1" w:styleId="77">
    <w:name w:val="cf2t"/>
    <w:basedOn w:val="5"/>
    <w:qFormat/>
    <w:uiPriority w:val="0"/>
    <w:pPr>
      <w:spacing w:line="360" w:lineRule="auto"/>
      <w:ind w:left="1260" w:firstLine="0"/>
    </w:pPr>
    <w:rPr>
      <w:rFonts w:ascii="楷体_GB2312" w:eastAsia="楷体_GB2312"/>
      <w:sz w:val="24"/>
    </w:rPr>
  </w:style>
  <w:style w:type="paragraph" w:customStyle="1" w:styleId="78">
    <w:name w:val="at"/>
    <w:basedOn w:val="57"/>
    <w:qFormat/>
    <w:uiPriority w:val="0"/>
  </w:style>
  <w:style w:type="paragraph" w:customStyle="1" w:styleId="79">
    <w:name w:val="at0"/>
    <w:basedOn w:val="65"/>
    <w:qFormat/>
    <w:uiPriority w:val="0"/>
    <w:pPr>
      <w:spacing w:before="0" w:after="0" w:line="415" w:lineRule="auto"/>
    </w:pPr>
  </w:style>
  <w:style w:type="paragraph" w:customStyle="1" w:styleId="80">
    <w:name w:val="att"/>
    <w:basedOn w:val="74"/>
    <w:qFormat/>
    <w:uiPriority w:val="0"/>
  </w:style>
  <w:style w:type="paragraph" w:customStyle="1" w:styleId="81">
    <w:name w:val="at1"/>
    <w:basedOn w:val="67"/>
    <w:qFormat/>
    <w:uiPriority w:val="0"/>
    <w:rPr>
      <w:b w:val="0"/>
      <w:bCs w:val="0"/>
    </w:rPr>
  </w:style>
  <w:style w:type="paragraph" w:customStyle="1" w:styleId="82">
    <w:name w:val="at2"/>
    <w:basedOn w:val="69"/>
    <w:qFormat/>
    <w:uiPriority w:val="0"/>
    <w:pPr>
      <w:tabs>
        <w:tab w:val="left" w:pos="8295"/>
      </w:tabs>
    </w:pPr>
  </w:style>
  <w:style w:type="paragraph" w:customStyle="1" w:styleId="83">
    <w:name w:val="at3"/>
    <w:basedOn w:val="70"/>
    <w:qFormat/>
    <w:uiPriority w:val="0"/>
    <w:pPr>
      <w:tabs>
        <w:tab w:val="left" w:pos="8295"/>
      </w:tabs>
    </w:pPr>
  </w:style>
  <w:style w:type="paragraph" w:customStyle="1" w:styleId="84">
    <w:name w:val="ifb"/>
    <w:basedOn w:val="57"/>
    <w:qFormat/>
    <w:uiPriority w:val="0"/>
    <w:pPr>
      <w:spacing w:before="0" w:after="0" w:line="360" w:lineRule="auto"/>
    </w:pPr>
  </w:style>
  <w:style w:type="paragraph" w:customStyle="1" w:styleId="85">
    <w:name w:val="ifb-1"/>
    <w:basedOn w:val="1"/>
    <w:qFormat/>
    <w:uiPriority w:val="0"/>
    <w:pPr>
      <w:ind w:left="420" w:hanging="420"/>
    </w:pPr>
    <w:rPr>
      <w:rFonts w:ascii="楷体_GB2312" w:hAnsi="Times New Roman" w:eastAsia="楷体_GB2312" w:cs="Times New Roman"/>
      <w:szCs w:val="20"/>
    </w:rPr>
  </w:style>
  <w:style w:type="paragraph" w:customStyle="1" w:styleId="86">
    <w:name w:val="cf0"/>
    <w:basedOn w:val="73"/>
    <w:qFormat/>
    <w:uiPriority w:val="0"/>
  </w:style>
  <w:style w:type="paragraph" w:customStyle="1" w:styleId="87">
    <w:name w:val="sor"/>
    <w:basedOn w:val="84"/>
    <w:qFormat/>
    <w:uiPriority w:val="0"/>
  </w:style>
  <w:style w:type="paragraph" w:customStyle="1" w:styleId="88">
    <w:name w:val="itb-1.1.a"/>
    <w:basedOn w:val="1"/>
    <w:qFormat/>
    <w:uiPriority w:val="0"/>
    <w:pPr>
      <w:ind w:left="1470" w:hanging="525"/>
    </w:pPr>
    <w:rPr>
      <w:rFonts w:ascii="楷体_GB2312" w:hAnsi="Times New Roman" w:eastAsia="楷体_GB2312" w:cs="Times New Roman"/>
      <w:szCs w:val="20"/>
    </w:rPr>
  </w:style>
  <w:style w:type="paragraph" w:customStyle="1" w:styleId="89">
    <w:name w:val="atoo"/>
    <w:basedOn w:val="79"/>
    <w:qFormat/>
    <w:uiPriority w:val="0"/>
  </w:style>
  <w:style w:type="paragraph" w:customStyle="1" w:styleId="90">
    <w:name w:val="ITB-0"/>
    <w:basedOn w:val="1"/>
    <w:qFormat/>
    <w:uiPriority w:val="0"/>
    <w:pPr>
      <w:adjustRightInd w:val="0"/>
      <w:jc w:val="center"/>
      <w:textAlignment w:val="baseline"/>
    </w:pPr>
    <w:rPr>
      <w:rFonts w:ascii="Times New Roman" w:hAnsi="Times New Roman" w:eastAsia="宋体" w:cs="Times New Roman"/>
      <w:b/>
      <w:sz w:val="32"/>
      <w:szCs w:val="20"/>
    </w:rPr>
  </w:style>
  <w:style w:type="paragraph" w:customStyle="1" w:styleId="91">
    <w:name w:val="itb2t"/>
    <w:basedOn w:val="60"/>
    <w:qFormat/>
    <w:uiPriority w:val="0"/>
    <w:pPr>
      <w:ind w:left="1157" w:firstLine="0"/>
    </w:pPr>
  </w:style>
  <w:style w:type="paragraph" w:customStyle="1" w:styleId="92">
    <w:name w:val="itb2.5"/>
    <w:basedOn w:val="5"/>
    <w:qFormat/>
    <w:uiPriority w:val="0"/>
    <w:pPr>
      <w:autoSpaceDE w:val="0"/>
      <w:autoSpaceDN w:val="0"/>
      <w:spacing w:before="120" w:after="120" w:line="360" w:lineRule="exact"/>
      <w:ind w:left="1367" w:hanging="737"/>
    </w:pPr>
    <w:rPr>
      <w:rFonts w:eastAsia="华文仿宋"/>
      <w:sz w:val="24"/>
    </w:rPr>
  </w:style>
  <w:style w:type="paragraph" w:customStyle="1" w:styleId="93">
    <w:name w:val="bds"/>
    <w:basedOn w:val="57"/>
    <w:qFormat/>
    <w:uiPriority w:val="0"/>
    <w:pPr>
      <w:autoSpaceDE w:val="0"/>
      <w:autoSpaceDN w:val="0"/>
      <w:spacing w:line="360" w:lineRule="exact"/>
    </w:pPr>
    <w:rPr>
      <w:rFonts w:ascii="Times New Roman" w:eastAsia="华文仿宋"/>
    </w:rPr>
  </w:style>
  <w:style w:type="paragraph" w:customStyle="1" w:styleId="94">
    <w:name w:val="cbds"/>
    <w:basedOn w:val="93"/>
    <w:qFormat/>
    <w:uiPriority w:val="0"/>
  </w:style>
  <w:style w:type="paragraph" w:customStyle="1" w:styleId="95">
    <w:name w:val="scc-14.5.1"/>
    <w:basedOn w:val="96"/>
    <w:qFormat/>
    <w:uiPriority w:val="0"/>
    <w:pPr>
      <w:spacing w:line="360" w:lineRule="exact"/>
      <w:ind w:left="1467" w:hanging="840"/>
    </w:pPr>
  </w:style>
  <w:style w:type="paragraph" w:customStyle="1" w:styleId="96">
    <w:name w:val="scc-1.1.1"/>
    <w:basedOn w:val="1"/>
    <w:qFormat/>
    <w:uiPriority w:val="0"/>
    <w:pPr>
      <w:spacing w:line="400" w:lineRule="atLeast"/>
      <w:ind w:left="1365" w:hanging="418"/>
    </w:pPr>
    <w:rPr>
      <w:rFonts w:ascii="Times New Roman" w:hAnsi="Times New Roman" w:eastAsia="楷体_GB2312" w:cs="Times New Roman"/>
      <w:sz w:val="24"/>
      <w:szCs w:val="20"/>
    </w:rPr>
  </w:style>
  <w:style w:type="paragraph" w:customStyle="1" w:styleId="97">
    <w:name w:val="scc-14.5.1.a"/>
    <w:basedOn w:val="98"/>
    <w:qFormat/>
    <w:uiPriority w:val="0"/>
    <w:pPr>
      <w:spacing w:line="360" w:lineRule="exact"/>
      <w:ind w:left="1992" w:hanging="525"/>
    </w:pPr>
  </w:style>
  <w:style w:type="paragraph" w:customStyle="1" w:styleId="98">
    <w:name w:val="SCC-1.1.1.1"/>
    <w:basedOn w:val="96"/>
    <w:qFormat/>
    <w:uiPriority w:val="0"/>
    <w:pPr>
      <w:ind w:left="1890" w:hanging="420"/>
    </w:pPr>
  </w:style>
  <w:style w:type="paragraph" w:customStyle="1" w:styleId="99">
    <w:name w:val="scc-14.5.1.a.i"/>
    <w:basedOn w:val="100"/>
    <w:qFormat/>
    <w:uiPriority w:val="0"/>
    <w:pPr>
      <w:spacing w:line="360" w:lineRule="exact"/>
      <w:ind w:left="2517" w:hanging="525"/>
    </w:pPr>
  </w:style>
  <w:style w:type="paragraph" w:customStyle="1" w:styleId="100">
    <w:name w:val="scc-1.1.1.1.1"/>
    <w:basedOn w:val="98"/>
    <w:qFormat/>
    <w:uiPriority w:val="0"/>
    <w:pPr>
      <w:ind w:left="2205" w:hanging="315"/>
    </w:pPr>
  </w:style>
  <w:style w:type="paragraph" w:customStyle="1" w:styleId="101">
    <w:name w:val="scc-1.1"/>
    <w:basedOn w:val="102"/>
    <w:qFormat/>
    <w:uiPriority w:val="0"/>
    <w:pPr>
      <w:ind w:left="947" w:hanging="527"/>
    </w:pPr>
    <w:rPr>
      <w:rFonts w:ascii="楷体_GB2312"/>
    </w:rPr>
  </w:style>
  <w:style w:type="paragraph" w:customStyle="1" w:styleId="102">
    <w:name w:val="gcc-1.1"/>
    <w:basedOn w:val="103"/>
    <w:qFormat/>
    <w:uiPriority w:val="0"/>
    <w:pPr>
      <w:spacing w:line="400" w:lineRule="atLeast"/>
    </w:pPr>
    <w:rPr>
      <w:rFonts w:ascii="Times New Roman"/>
      <w:sz w:val="24"/>
    </w:rPr>
  </w:style>
  <w:style w:type="paragraph" w:customStyle="1" w:styleId="103">
    <w:name w:val="itb-1.1"/>
    <w:basedOn w:val="1"/>
    <w:qFormat/>
    <w:uiPriority w:val="0"/>
    <w:pPr>
      <w:ind w:left="945" w:hanging="525"/>
    </w:pPr>
    <w:rPr>
      <w:rFonts w:ascii="楷体_GB2312" w:hAnsi="Times New Roman" w:eastAsia="楷体_GB2312" w:cs="Times New Roman"/>
      <w:szCs w:val="20"/>
    </w:rPr>
  </w:style>
  <w:style w:type="character" w:customStyle="1" w:styleId="104">
    <w:name w:val="正文文本 Char"/>
    <w:basedOn w:val="34"/>
    <w:link w:val="15"/>
    <w:qFormat/>
    <w:uiPriority w:val="0"/>
    <w:rPr>
      <w:rFonts w:ascii="Times New Roman" w:hAnsi="Times New Roman" w:eastAsia="宋体" w:cs="Times New Roman"/>
      <w:szCs w:val="20"/>
    </w:rPr>
  </w:style>
  <w:style w:type="character" w:customStyle="1" w:styleId="105">
    <w:name w:val="正文文本缩进 Char"/>
    <w:basedOn w:val="34"/>
    <w:link w:val="16"/>
    <w:qFormat/>
    <w:uiPriority w:val="0"/>
    <w:rPr>
      <w:rFonts w:ascii="Times New Roman" w:hAnsi="Times New Roman" w:eastAsia="宋体" w:cs="Times New Roman"/>
      <w:szCs w:val="20"/>
    </w:rPr>
  </w:style>
  <w:style w:type="character" w:customStyle="1" w:styleId="106">
    <w:name w:val="副标题 Char"/>
    <w:basedOn w:val="34"/>
    <w:link w:val="24"/>
    <w:qFormat/>
    <w:uiPriority w:val="0"/>
    <w:rPr>
      <w:rFonts w:ascii="Arial" w:hAnsi="Arial" w:eastAsia="宋体" w:cs="Arial"/>
      <w:b/>
      <w:bCs/>
      <w:kern w:val="28"/>
      <w:sz w:val="32"/>
      <w:szCs w:val="32"/>
    </w:rPr>
  </w:style>
  <w:style w:type="character" w:customStyle="1" w:styleId="107">
    <w:name w:val="正文文本 2 Char"/>
    <w:basedOn w:val="34"/>
    <w:link w:val="27"/>
    <w:qFormat/>
    <w:uiPriority w:val="0"/>
    <w:rPr>
      <w:rFonts w:ascii="楷体_GB2312" w:hAnsi="Times New Roman" w:eastAsia="楷体_GB2312" w:cs="Times New Roman"/>
      <w:b/>
      <w:sz w:val="72"/>
      <w:szCs w:val="20"/>
    </w:rPr>
  </w:style>
  <w:style w:type="paragraph" w:customStyle="1" w:styleId="108">
    <w:name w:val="eqc1t"/>
    <w:basedOn w:val="1"/>
    <w:qFormat/>
    <w:uiPriority w:val="0"/>
    <w:pPr>
      <w:adjustRightInd w:val="0"/>
      <w:spacing w:line="400" w:lineRule="atLeast"/>
      <w:ind w:left="420"/>
      <w:textAlignment w:val="baseline"/>
    </w:pPr>
    <w:rPr>
      <w:rFonts w:ascii="Times New Roman" w:hAnsi="Times New Roman" w:eastAsia="楷体_GB2312" w:cs="Times New Roman"/>
      <w:kern w:val="0"/>
      <w:sz w:val="24"/>
      <w:szCs w:val="20"/>
    </w:rPr>
  </w:style>
  <w:style w:type="paragraph" w:customStyle="1" w:styleId="109">
    <w:name w:val="IFB-1"/>
    <w:basedOn w:val="1"/>
    <w:qFormat/>
    <w:uiPriority w:val="0"/>
    <w:pPr>
      <w:adjustRightInd w:val="0"/>
      <w:ind w:left="397" w:hanging="397"/>
      <w:textAlignment w:val="baseline"/>
    </w:pPr>
    <w:rPr>
      <w:rFonts w:ascii="Times New Roman" w:hAnsi="Times New Roman" w:eastAsia="楷体_GB2312" w:cs="Times New Roman"/>
      <w:szCs w:val="20"/>
    </w:rPr>
  </w:style>
  <w:style w:type="paragraph" w:customStyle="1" w:styleId="110">
    <w:name w:val="样式6"/>
    <w:basedOn w:val="1"/>
    <w:qFormat/>
    <w:uiPriority w:val="0"/>
    <w:pPr>
      <w:widowControl/>
      <w:tabs>
        <w:tab w:val="left" w:pos="480"/>
      </w:tabs>
      <w:adjustRightInd w:val="0"/>
      <w:spacing w:line="320" w:lineRule="atLeast"/>
      <w:ind w:left="480" w:hanging="480"/>
      <w:textAlignment w:val="baseline"/>
    </w:pPr>
    <w:rPr>
      <w:rFonts w:ascii="Times New Roman" w:hAnsi="Times New Roman" w:eastAsia="楷体_GB2312" w:cs="Times New Roman"/>
      <w:kern w:val="0"/>
      <w:sz w:val="24"/>
      <w:szCs w:val="20"/>
    </w:rPr>
  </w:style>
  <w:style w:type="character" w:customStyle="1" w:styleId="111">
    <w:name w:val="正文文本缩进 2 Char"/>
    <w:basedOn w:val="34"/>
    <w:link w:val="20"/>
    <w:qFormat/>
    <w:uiPriority w:val="0"/>
    <w:rPr>
      <w:rFonts w:ascii="华文仿宋" w:hAnsi="华文仿宋" w:eastAsia="华文仿宋" w:cs="Times New Roman"/>
      <w:sz w:val="32"/>
      <w:szCs w:val="20"/>
    </w:rPr>
  </w:style>
  <w:style w:type="character" w:customStyle="1" w:styleId="112">
    <w:name w:val="批注框文本 Char"/>
    <w:basedOn w:val="34"/>
    <w:link w:val="21"/>
    <w:semiHidden/>
    <w:qFormat/>
    <w:uiPriority w:val="0"/>
    <w:rPr>
      <w:rFonts w:ascii="Times New Roman" w:hAnsi="Times New Roman" w:eastAsia="宋体" w:cs="Times New Roman"/>
      <w:sz w:val="18"/>
      <w:szCs w:val="18"/>
    </w:rPr>
  </w:style>
  <w:style w:type="character" w:customStyle="1" w:styleId="113">
    <w:name w:val="正文文本缩进 3 Char"/>
    <w:basedOn w:val="34"/>
    <w:link w:val="26"/>
    <w:qFormat/>
    <w:uiPriority w:val="0"/>
    <w:rPr>
      <w:rFonts w:ascii="华文仿宋" w:hAnsi="华文仿宋" w:eastAsia="华文仿宋" w:cs="Times New Roman"/>
      <w:sz w:val="24"/>
      <w:szCs w:val="20"/>
    </w:rPr>
  </w:style>
  <w:style w:type="paragraph" w:customStyle="1" w:styleId="114">
    <w:name w:val="Indent"/>
    <w:basedOn w:val="1"/>
    <w:qFormat/>
    <w:uiPriority w:val="0"/>
    <w:pPr>
      <w:widowControl/>
      <w:ind w:left="900"/>
      <w:jc w:val="left"/>
    </w:pPr>
    <w:rPr>
      <w:rFonts w:ascii="Arial" w:hAnsi="Arial" w:eastAsia="宋体" w:cs="Arial"/>
      <w:kern w:val="0"/>
      <w:sz w:val="24"/>
      <w:szCs w:val="20"/>
      <w:lang w:eastAsia="en-US"/>
    </w:rPr>
  </w:style>
  <w:style w:type="character" w:customStyle="1" w:styleId="115">
    <w:name w:val="Char Char"/>
    <w:qFormat/>
    <w:uiPriority w:val="0"/>
    <w:rPr>
      <w:rFonts w:ascii="宋体" w:eastAsia="宋体"/>
      <w:b/>
      <w:kern w:val="2"/>
      <w:sz w:val="36"/>
      <w:lang w:val="en-US" w:eastAsia="zh-CN" w:bidi="ar-SA"/>
    </w:rPr>
  </w:style>
  <w:style w:type="character" w:customStyle="1" w:styleId="116">
    <w:name w:val="Char Char1"/>
    <w:qFormat/>
    <w:uiPriority w:val="0"/>
    <w:rPr>
      <w:rFonts w:eastAsia="宋体"/>
      <w:kern w:val="2"/>
      <w:sz w:val="18"/>
      <w:lang w:val="en-US" w:eastAsia="zh-CN" w:bidi="ar-SA"/>
    </w:rPr>
  </w:style>
  <w:style w:type="character" w:customStyle="1" w:styleId="117">
    <w:name w:val="Char Char7"/>
    <w:qFormat/>
    <w:uiPriority w:val="0"/>
    <w:rPr>
      <w:rFonts w:ascii="Arial" w:hAnsi="Arial" w:eastAsia="黑体"/>
      <w:b/>
      <w:bCs/>
      <w:kern w:val="2"/>
      <w:sz w:val="28"/>
      <w:szCs w:val="28"/>
      <w:lang w:val="en-US" w:eastAsia="zh-CN" w:bidi="ar-SA"/>
    </w:rPr>
  </w:style>
  <w:style w:type="character" w:customStyle="1" w:styleId="118">
    <w:name w:val="Char Char6"/>
    <w:qFormat/>
    <w:uiPriority w:val="0"/>
    <w:rPr>
      <w:rFonts w:eastAsia="宋体"/>
      <w:b/>
      <w:bCs/>
      <w:kern w:val="2"/>
      <w:sz w:val="28"/>
      <w:szCs w:val="28"/>
      <w:lang w:val="en-US" w:eastAsia="zh-CN" w:bidi="ar-SA"/>
    </w:rPr>
  </w:style>
  <w:style w:type="character" w:customStyle="1" w:styleId="119">
    <w:name w:val="Char Char5"/>
    <w:qFormat/>
    <w:uiPriority w:val="0"/>
    <w:rPr>
      <w:rFonts w:ascii="Arial" w:hAnsi="Arial" w:eastAsia="黑体"/>
      <w:b/>
      <w:bCs/>
      <w:kern w:val="2"/>
      <w:sz w:val="24"/>
      <w:szCs w:val="24"/>
      <w:lang w:val="en-US" w:eastAsia="zh-CN" w:bidi="ar-SA"/>
    </w:rPr>
  </w:style>
  <w:style w:type="character" w:customStyle="1" w:styleId="120">
    <w:name w:val="Char Char4"/>
    <w:qFormat/>
    <w:uiPriority w:val="0"/>
    <w:rPr>
      <w:rFonts w:eastAsia="宋体"/>
      <w:b/>
      <w:bCs/>
      <w:kern w:val="2"/>
      <w:sz w:val="24"/>
      <w:szCs w:val="24"/>
      <w:lang w:val="en-US" w:eastAsia="zh-CN" w:bidi="ar-SA"/>
    </w:rPr>
  </w:style>
  <w:style w:type="character" w:customStyle="1" w:styleId="121">
    <w:name w:val="Char Char3"/>
    <w:qFormat/>
    <w:uiPriority w:val="0"/>
    <w:rPr>
      <w:rFonts w:ascii="Arial" w:hAnsi="Arial" w:eastAsia="黑体"/>
      <w:kern w:val="2"/>
      <w:sz w:val="24"/>
      <w:szCs w:val="24"/>
      <w:lang w:val="en-US" w:eastAsia="zh-CN" w:bidi="ar-SA"/>
    </w:rPr>
  </w:style>
  <w:style w:type="character" w:customStyle="1" w:styleId="122">
    <w:name w:val="Char Char2"/>
    <w:qFormat/>
    <w:uiPriority w:val="0"/>
    <w:rPr>
      <w:rFonts w:ascii="Arial" w:hAnsi="Arial" w:eastAsia="黑体"/>
      <w:kern w:val="2"/>
      <w:sz w:val="21"/>
      <w:szCs w:val="21"/>
      <w:lang w:val="en-US" w:eastAsia="zh-CN" w:bidi="ar-SA"/>
    </w:rPr>
  </w:style>
  <w:style w:type="paragraph" w:customStyle="1" w:styleId="123">
    <w:name w:val="样式1"/>
    <w:basedOn w:val="1"/>
    <w:qFormat/>
    <w:uiPriority w:val="0"/>
    <w:pPr>
      <w:spacing w:line="360" w:lineRule="auto"/>
    </w:pPr>
    <w:rPr>
      <w:rFonts w:ascii="宋体" w:hAnsi="宋体" w:eastAsia="宋体" w:cs="Times New Roman"/>
      <w:sz w:val="24"/>
      <w:szCs w:val="24"/>
    </w:rPr>
  </w:style>
  <w:style w:type="paragraph" w:customStyle="1" w:styleId="124">
    <w:name w:val="样式2"/>
    <w:basedOn w:val="1"/>
    <w:qFormat/>
    <w:uiPriority w:val="0"/>
    <w:pPr>
      <w:spacing w:line="360" w:lineRule="auto"/>
      <w:ind w:left="360"/>
    </w:pPr>
    <w:rPr>
      <w:rFonts w:ascii="宋体" w:hAnsi="宋体" w:eastAsia="宋体" w:cs="Times New Roman"/>
      <w:sz w:val="24"/>
      <w:szCs w:val="24"/>
    </w:rPr>
  </w:style>
  <w:style w:type="character" w:customStyle="1" w:styleId="125">
    <w:name w:val="样式2 Char"/>
    <w:qFormat/>
    <w:uiPriority w:val="0"/>
    <w:rPr>
      <w:rFonts w:ascii="宋体" w:hAnsi="宋体" w:eastAsia="宋体"/>
      <w:kern w:val="2"/>
      <w:sz w:val="24"/>
      <w:szCs w:val="24"/>
      <w:lang w:val="en-US" w:eastAsia="zh-CN" w:bidi="ar-SA"/>
    </w:rPr>
  </w:style>
  <w:style w:type="character" w:customStyle="1" w:styleId="126">
    <w:name w:val="普通文字1 Char"/>
    <w:qFormat/>
    <w:uiPriority w:val="0"/>
    <w:rPr>
      <w:rFonts w:ascii="宋体" w:hAnsi="Courier New" w:eastAsia="宋体"/>
      <w:kern w:val="2"/>
      <w:sz w:val="21"/>
      <w:lang w:val="en-US" w:eastAsia="zh-CN" w:bidi="ar-SA"/>
    </w:rPr>
  </w:style>
  <w:style w:type="character" w:customStyle="1" w:styleId="127">
    <w:name w:val="批注文字 Char"/>
    <w:basedOn w:val="34"/>
    <w:link w:val="13"/>
    <w:semiHidden/>
    <w:qFormat/>
    <w:uiPriority w:val="0"/>
    <w:rPr>
      <w:rFonts w:ascii="Times New Roman" w:hAnsi="Times New Roman" w:eastAsia="宋体" w:cs="Times New Roman"/>
      <w:kern w:val="0"/>
      <w:sz w:val="24"/>
      <w:szCs w:val="20"/>
    </w:rPr>
  </w:style>
  <w:style w:type="paragraph" w:customStyle="1" w:styleId="128">
    <w:name w:val="标2"/>
    <w:basedOn w:val="1"/>
    <w:qFormat/>
    <w:uiPriority w:val="0"/>
    <w:pPr>
      <w:adjustRightInd w:val="0"/>
      <w:snapToGrid w:val="0"/>
      <w:spacing w:beforeLines="50" w:afterLines="50"/>
      <w:ind w:left="360"/>
      <w:outlineLvl w:val="1"/>
    </w:pPr>
    <w:rPr>
      <w:rFonts w:ascii="华文仿宋" w:hAnsi="华文仿宋" w:eastAsia="华文仿宋" w:cs="Times New Roman"/>
      <w:b/>
      <w:bCs/>
      <w:sz w:val="24"/>
      <w:szCs w:val="24"/>
    </w:rPr>
  </w:style>
  <w:style w:type="paragraph" w:customStyle="1" w:styleId="129">
    <w:name w:val="标3"/>
    <w:basedOn w:val="1"/>
    <w:qFormat/>
    <w:uiPriority w:val="0"/>
    <w:pPr>
      <w:adjustRightInd w:val="0"/>
      <w:snapToGrid w:val="0"/>
      <w:spacing w:beforeLines="50"/>
      <w:ind w:left="360"/>
      <w:outlineLvl w:val="2"/>
    </w:pPr>
    <w:rPr>
      <w:rFonts w:ascii="华文仿宋" w:hAnsi="华文仿宋" w:eastAsia="华文仿宋" w:cs="Times New Roman"/>
      <w:sz w:val="24"/>
      <w:szCs w:val="24"/>
    </w:rPr>
  </w:style>
  <w:style w:type="paragraph" w:customStyle="1" w:styleId="130">
    <w:name w:val="Char1 Char Char Char"/>
    <w:basedOn w:val="1"/>
    <w:qFormat/>
    <w:uiPriority w:val="0"/>
    <w:pPr>
      <w:tabs>
        <w:tab w:val="left" w:pos="420"/>
      </w:tabs>
      <w:ind w:left="420" w:hanging="420"/>
    </w:pPr>
    <w:rPr>
      <w:rFonts w:ascii="Tahoma" w:hAnsi="Tahoma" w:eastAsia="宋体" w:cs="Times New Roman"/>
      <w:sz w:val="24"/>
      <w:szCs w:val="20"/>
    </w:rPr>
  </w:style>
  <w:style w:type="paragraph" w:customStyle="1" w:styleId="131">
    <w:name w:val="列出段落1"/>
    <w:basedOn w:val="1"/>
    <w:qFormat/>
    <w:uiPriority w:val="0"/>
    <w:pPr>
      <w:widowControl/>
      <w:ind w:firstLine="420" w:firstLineChars="200"/>
      <w:jc w:val="left"/>
    </w:pPr>
    <w:rPr>
      <w:rFonts w:ascii="Times New Roman" w:hAnsi="Times New Roman" w:eastAsia="宋体" w:cs="Times New Roman"/>
      <w:kern w:val="0"/>
      <w:sz w:val="24"/>
      <w:szCs w:val="24"/>
    </w:rPr>
  </w:style>
  <w:style w:type="paragraph" w:customStyle="1" w:styleId="132">
    <w:name w:val="标1"/>
    <w:basedOn w:val="1"/>
    <w:qFormat/>
    <w:uiPriority w:val="0"/>
    <w:pPr>
      <w:tabs>
        <w:tab w:val="left" w:pos="360"/>
      </w:tabs>
      <w:adjustRightInd w:val="0"/>
      <w:snapToGrid w:val="0"/>
      <w:spacing w:line="360" w:lineRule="auto"/>
      <w:ind w:left="360" w:hanging="360"/>
      <w:jc w:val="left"/>
      <w:outlineLvl w:val="0"/>
    </w:pPr>
    <w:rPr>
      <w:rFonts w:ascii="Arial Narrow" w:hAnsi="Arial Narrow" w:eastAsia="仿宋_GB2312" w:cs="Times New Roman"/>
      <w:b/>
      <w:spacing w:val="20"/>
      <w:kern w:val="0"/>
      <w:sz w:val="28"/>
      <w:szCs w:val="20"/>
    </w:rPr>
  </w:style>
  <w:style w:type="paragraph" w:customStyle="1" w:styleId="133">
    <w:name w:val="标4"/>
    <w:basedOn w:val="129"/>
    <w:qFormat/>
    <w:uiPriority w:val="0"/>
    <w:pPr>
      <w:tabs>
        <w:tab w:val="left" w:pos="360"/>
        <w:tab w:val="left" w:pos="1680"/>
      </w:tabs>
      <w:ind w:left="1680" w:hanging="420"/>
      <w:outlineLvl w:val="3"/>
    </w:pPr>
    <w:rPr>
      <w:rFonts w:ascii="Arial Narrow" w:hAnsi="Arial Narrow" w:eastAsia="仿宋_GB2312"/>
      <w:szCs w:val="20"/>
    </w:rPr>
  </w:style>
  <w:style w:type="character" w:customStyle="1" w:styleId="134">
    <w:name w:val="标题 Char"/>
    <w:basedOn w:val="34"/>
    <w:link w:val="30"/>
    <w:qFormat/>
    <w:uiPriority w:val="0"/>
    <w:rPr>
      <w:rFonts w:ascii="Arial" w:hAnsi="Arial" w:eastAsia="黑体" w:cs="Times New Roman"/>
      <w:b/>
      <w:sz w:val="36"/>
      <w:szCs w:val="20"/>
    </w:rPr>
  </w:style>
  <w:style w:type="character" w:customStyle="1" w:styleId="135">
    <w:name w:val="正文文本 Char1"/>
    <w:qFormat/>
    <w:uiPriority w:val="0"/>
    <w:rPr>
      <w:kern w:val="2"/>
      <w:sz w:val="21"/>
      <w:szCs w:val="24"/>
    </w:rPr>
  </w:style>
  <w:style w:type="character" w:customStyle="1" w:styleId="136">
    <w:name w:val="Footer Char"/>
    <w:qFormat/>
    <w:uiPriority w:val="0"/>
    <w:rPr>
      <w:rFonts w:ascii="Times New Roman" w:hAnsi="Times New Roman" w:cs="Times New Roman"/>
      <w:sz w:val="18"/>
      <w:szCs w:val="18"/>
    </w:rPr>
  </w:style>
  <w:style w:type="paragraph" w:customStyle="1" w:styleId="137">
    <w:name w:val="正文文本缩进1"/>
    <w:basedOn w:val="1"/>
    <w:qFormat/>
    <w:uiPriority w:val="0"/>
    <w:pPr>
      <w:spacing w:line="480" w:lineRule="auto"/>
      <w:ind w:firstLine="560" w:firstLineChars="200"/>
    </w:pPr>
    <w:rPr>
      <w:rFonts w:ascii="Times New Roman" w:hAnsi="Times New Roman" w:eastAsia="宋体" w:cs="Times New Roman"/>
      <w:sz w:val="28"/>
      <w:szCs w:val="24"/>
    </w:rPr>
  </w:style>
  <w:style w:type="character" w:customStyle="1" w:styleId="138">
    <w:name w:val="Body Text Indent Char"/>
    <w:qFormat/>
    <w:uiPriority w:val="0"/>
    <w:rPr>
      <w:rFonts w:ascii="Times New Roman" w:hAnsi="Times New Roman" w:eastAsia="宋体" w:cs="Times New Roman"/>
      <w:sz w:val="24"/>
      <w:szCs w:val="24"/>
    </w:rPr>
  </w:style>
  <w:style w:type="character" w:customStyle="1" w:styleId="139">
    <w:name w:val="Heading 1 Char"/>
    <w:qFormat/>
    <w:uiPriority w:val="0"/>
    <w:rPr>
      <w:rFonts w:ascii="Times New Roman" w:hAnsi="Times New Roman" w:cs="Times New Roman"/>
      <w:b/>
      <w:bCs/>
      <w:kern w:val="44"/>
      <w:sz w:val="44"/>
      <w:szCs w:val="44"/>
    </w:rPr>
  </w:style>
  <w:style w:type="character" w:customStyle="1" w:styleId="140">
    <w:name w:val="Heading 2 Char"/>
    <w:qFormat/>
    <w:uiPriority w:val="0"/>
    <w:rPr>
      <w:rFonts w:ascii="Cambria" w:hAnsi="Cambria" w:eastAsia="宋体" w:cs="Cambria"/>
      <w:b/>
      <w:bCs/>
      <w:sz w:val="32"/>
      <w:szCs w:val="32"/>
    </w:rPr>
  </w:style>
  <w:style w:type="character" w:customStyle="1" w:styleId="141">
    <w:name w:val="Heading 3 Char"/>
    <w:qFormat/>
    <w:uiPriority w:val="0"/>
    <w:rPr>
      <w:rFonts w:ascii="Times New Roman" w:hAnsi="Times New Roman" w:cs="Times New Roman"/>
      <w:b/>
      <w:bCs/>
      <w:sz w:val="32"/>
      <w:szCs w:val="32"/>
    </w:rPr>
  </w:style>
  <w:style w:type="character" w:customStyle="1" w:styleId="142">
    <w:name w:val="Heading 4 Char"/>
    <w:qFormat/>
    <w:uiPriority w:val="0"/>
    <w:rPr>
      <w:rFonts w:ascii="Cambria" w:hAnsi="Cambria" w:eastAsia="宋体" w:cs="Cambria"/>
      <w:b/>
      <w:bCs/>
      <w:sz w:val="28"/>
      <w:szCs w:val="28"/>
    </w:rPr>
  </w:style>
  <w:style w:type="character" w:customStyle="1" w:styleId="143">
    <w:name w:val="Heading 5 Char"/>
    <w:qFormat/>
    <w:uiPriority w:val="0"/>
    <w:rPr>
      <w:rFonts w:ascii="Times New Roman" w:hAnsi="Times New Roman" w:cs="Times New Roman"/>
      <w:b/>
      <w:bCs/>
      <w:sz w:val="28"/>
      <w:szCs w:val="28"/>
    </w:rPr>
  </w:style>
  <w:style w:type="character" w:customStyle="1" w:styleId="144">
    <w:name w:val="Heading 6 Char"/>
    <w:qFormat/>
    <w:uiPriority w:val="0"/>
    <w:rPr>
      <w:rFonts w:ascii="Cambria" w:hAnsi="Cambria" w:eastAsia="宋体" w:cs="Cambria"/>
      <w:b/>
      <w:bCs/>
      <w:sz w:val="24"/>
      <w:szCs w:val="24"/>
    </w:rPr>
  </w:style>
  <w:style w:type="character" w:customStyle="1" w:styleId="145">
    <w:name w:val="Heading 7 Char"/>
    <w:qFormat/>
    <w:uiPriority w:val="0"/>
    <w:rPr>
      <w:rFonts w:ascii="Times New Roman" w:hAnsi="Times New Roman" w:cs="Times New Roman"/>
      <w:b/>
      <w:bCs/>
      <w:sz w:val="24"/>
      <w:szCs w:val="24"/>
    </w:rPr>
  </w:style>
  <w:style w:type="character" w:customStyle="1" w:styleId="146">
    <w:name w:val="Heading 8 Char"/>
    <w:qFormat/>
    <w:uiPriority w:val="0"/>
    <w:rPr>
      <w:rFonts w:ascii="Cambria" w:hAnsi="Cambria" w:eastAsia="宋体" w:cs="Cambria"/>
      <w:sz w:val="24"/>
      <w:szCs w:val="24"/>
    </w:rPr>
  </w:style>
  <w:style w:type="character" w:customStyle="1" w:styleId="147">
    <w:name w:val="Heading 9 Char"/>
    <w:qFormat/>
    <w:uiPriority w:val="0"/>
    <w:rPr>
      <w:rFonts w:ascii="Cambria" w:hAnsi="Cambria" w:eastAsia="宋体" w:cs="Cambria"/>
      <w:sz w:val="21"/>
      <w:szCs w:val="21"/>
    </w:rPr>
  </w:style>
  <w:style w:type="character" w:customStyle="1" w:styleId="148">
    <w:name w:val="Body Text Char"/>
    <w:qFormat/>
    <w:uiPriority w:val="0"/>
    <w:rPr>
      <w:rFonts w:ascii="Times New Roman" w:hAnsi="Times New Roman" w:cs="Times New Roman"/>
      <w:sz w:val="24"/>
      <w:szCs w:val="24"/>
    </w:rPr>
  </w:style>
  <w:style w:type="character" w:customStyle="1" w:styleId="149">
    <w:name w:val="Body Text 2 Char"/>
    <w:qFormat/>
    <w:uiPriority w:val="0"/>
    <w:rPr>
      <w:rFonts w:ascii="Times New Roman" w:hAnsi="Times New Roman" w:cs="Times New Roman"/>
      <w:sz w:val="24"/>
      <w:szCs w:val="24"/>
    </w:rPr>
  </w:style>
  <w:style w:type="character" w:customStyle="1" w:styleId="150">
    <w:name w:val="Body Text 3 Char"/>
    <w:qFormat/>
    <w:uiPriority w:val="0"/>
    <w:rPr>
      <w:rFonts w:ascii="Times New Roman" w:hAnsi="Times New Roman" w:cs="Times New Roman"/>
      <w:sz w:val="16"/>
      <w:szCs w:val="16"/>
    </w:rPr>
  </w:style>
  <w:style w:type="character" w:customStyle="1" w:styleId="151">
    <w:name w:val="Title Char"/>
    <w:qFormat/>
    <w:uiPriority w:val="0"/>
    <w:rPr>
      <w:rFonts w:ascii="Cambria" w:hAnsi="Cambria" w:cs="Cambria"/>
      <w:b/>
      <w:bCs/>
      <w:sz w:val="32"/>
      <w:szCs w:val="32"/>
    </w:rPr>
  </w:style>
  <w:style w:type="character" w:customStyle="1" w:styleId="152">
    <w:name w:val="Subtitle Char"/>
    <w:qFormat/>
    <w:uiPriority w:val="0"/>
    <w:rPr>
      <w:rFonts w:ascii="Cambria" w:hAnsi="Cambria" w:cs="Cambria"/>
      <w:b/>
      <w:bCs/>
      <w:kern w:val="28"/>
      <w:sz w:val="32"/>
      <w:szCs w:val="32"/>
    </w:rPr>
  </w:style>
  <w:style w:type="character" w:customStyle="1" w:styleId="153">
    <w:name w:val="Plain Text Char"/>
    <w:qFormat/>
    <w:uiPriority w:val="0"/>
    <w:rPr>
      <w:rFonts w:ascii="宋体" w:eastAsia="宋体" w:cs="宋体"/>
      <w:sz w:val="21"/>
      <w:szCs w:val="21"/>
    </w:rPr>
  </w:style>
  <w:style w:type="character" w:customStyle="1" w:styleId="154">
    <w:name w:val="Body Text Indent 2 Char"/>
    <w:qFormat/>
    <w:uiPriority w:val="0"/>
    <w:rPr>
      <w:rFonts w:ascii="Times New Roman" w:hAnsi="Times New Roman" w:cs="Times New Roman"/>
      <w:sz w:val="24"/>
      <w:szCs w:val="24"/>
    </w:rPr>
  </w:style>
  <w:style w:type="character" w:customStyle="1" w:styleId="155">
    <w:name w:val="Body Text Indent 3 Char"/>
    <w:qFormat/>
    <w:uiPriority w:val="0"/>
    <w:rPr>
      <w:rFonts w:ascii="Times New Roman" w:hAnsi="Times New Roman" w:cs="Times New Roman"/>
      <w:sz w:val="16"/>
      <w:szCs w:val="16"/>
    </w:rPr>
  </w:style>
  <w:style w:type="character" w:customStyle="1" w:styleId="156">
    <w:name w:val="Header Char"/>
    <w:qFormat/>
    <w:uiPriority w:val="0"/>
    <w:rPr>
      <w:rFonts w:ascii="Times New Roman" w:hAnsi="Times New Roman" w:cs="Times New Roman"/>
      <w:sz w:val="18"/>
      <w:szCs w:val="18"/>
    </w:rPr>
  </w:style>
  <w:style w:type="character" w:customStyle="1" w:styleId="157">
    <w:name w:val="Date Char"/>
    <w:qFormat/>
    <w:uiPriority w:val="0"/>
    <w:rPr>
      <w:rFonts w:ascii="Times New Roman" w:hAnsi="Times New Roman" w:cs="Times New Roman"/>
      <w:sz w:val="24"/>
      <w:szCs w:val="24"/>
    </w:rPr>
  </w:style>
  <w:style w:type="character" w:customStyle="1" w:styleId="158">
    <w:name w:val="Balloon Text Char"/>
    <w:qFormat/>
    <w:uiPriority w:val="0"/>
    <w:rPr>
      <w:rFonts w:ascii="Times New Roman" w:hAnsi="Times New Roman" w:cs="Times New Roman"/>
      <w:sz w:val="2"/>
      <w:szCs w:val="2"/>
    </w:rPr>
  </w:style>
  <w:style w:type="paragraph" w:customStyle="1" w:styleId="159">
    <w:name w:val="00"/>
    <w:qFormat/>
    <w:uiPriority w:val="0"/>
    <w:pPr>
      <w:tabs>
        <w:tab w:val="left" w:pos="720"/>
      </w:tabs>
      <w:spacing w:line="240" w:lineRule="exact"/>
      <w:jc w:val="center"/>
    </w:pPr>
    <w:rPr>
      <w:rFonts w:ascii="Courier" w:hAnsi="Courier" w:eastAsia="宋体" w:cs="Courier"/>
      <w:b/>
      <w:bCs/>
      <w:sz w:val="24"/>
      <w:szCs w:val="24"/>
      <w:u w:val="single"/>
      <w:lang w:val="de-DE" w:eastAsia="zh-CN" w:bidi="ar-SA"/>
    </w:rPr>
  </w:style>
  <w:style w:type="paragraph" w:customStyle="1" w:styleId="160">
    <w:name w:val="Bullet"/>
    <w:basedOn w:val="1"/>
    <w:qFormat/>
    <w:uiPriority w:val="0"/>
    <w:pPr>
      <w:widowControl/>
      <w:tabs>
        <w:tab w:val="left" w:pos="360"/>
      </w:tabs>
      <w:spacing w:before="100" w:line="280" w:lineRule="exact"/>
      <w:ind w:left="360" w:hanging="360"/>
      <w:jc w:val="left"/>
    </w:pPr>
    <w:rPr>
      <w:rFonts w:ascii="Times" w:hAnsi="Times" w:eastAsia="宋体" w:cs="Times"/>
      <w:kern w:val="0"/>
      <w:sz w:val="20"/>
      <w:szCs w:val="20"/>
      <w:lang w:val="en-AU" w:eastAsia="en-US"/>
    </w:rPr>
  </w:style>
  <w:style w:type="paragraph" w:customStyle="1" w:styleId="161">
    <w:name w:val="absatz8"/>
    <w:basedOn w:val="1"/>
    <w:qFormat/>
    <w:uiPriority w:val="0"/>
    <w:pPr>
      <w:widowControl/>
      <w:tabs>
        <w:tab w:val="left" w:pos="709"/>
        <w:tab w:val="left" w:pos="1276"/>
        <w:tab w:val="left" w:pos="5103"/>
        <w:tab w:val="right" w:pos="9379"/>
      </w:tabs>
      <w:ind w:left="1843" w:right="1418" w:hanging="1843"/>
    </w:pPr>
    <w:rPr>
      <w:rFonts w:ascii="Times New Roman" w:hAnsi="Times New Roman" w:eastAsia="宋体" w:cs="Times New Roman"/>
      <w:kern w:val="0"/>
      <w:sz w:val="24"/>
      <w:szCs w:val="24"/>
      <w:lang w:val="de-DE"/>
    </w:rPr>
  </w:style>
  <w:style w:type="paragraph" w:customStyle="1" w:styleId="162">
    <w:name w:val="Heading1"/>
    <w:basedOn w:val="1"/>
    <w:qFormat/>
    <w:uiPriority w:val="0"/>
    <w:pPr>
      <w:widowControl/>
      <w:jc w:val="left"/>
    </w:pPr>
    <w:rPr>
      <w:rFonts w:ascii="Arial" w:hAnsi="Arial" w:eastAsia="宋体" w:cs="Arial"/>
      <w:b/>
      <w:bCs/>
      <w:kern w:val="28"/>
      <w:sz w:val="24"/>
      <w:szCs w:val="24"/>
      <w:lang w:val="en-AU" w:eastAsia="en-US"/>
    </w:rPr>
  </w:style>
  <w:style w:type="paragraph" w:customStyle="1" w:styleId="163">
    <w:name w:val="absatz6"/>
    <w:basedOn w:val="1"/>
    <w:qFormat/>
    <w:uiPriority w:val="0"/>
    <w:pPr>
      <w:widowControl/>
      <w:tabs>
        <w:tab w:val="left" w:pos="709"/>
        <w:tab w:val="left" w:pos="4536"/>
        <w:tab w:val="right" w:pos="10206"/>
      </w:tabs>
      <w:ind w:left="4536" w:hanging="4536"/>
    </w:pPr>
    <w:rPr>
      <w:rFonts w:ascii="Times New Roman" w:hAnsi="Times New Roman" w:eastAsia="宋体" w:cs="Times New Roman"/>
      <w:kern w:val="0"/>
      <w:sz w:val="24"/>
      <w:szCs w:val="24"/>
      <w:lang w:val="de-DE" w:eastAsia="es-ES"/>
    </w:rPr>
  </w:style>
  <w:style w:type="paragraph" w:customStyle="1" w:styleId="164">
    <w:name w:val="21"/>
    <w:qFormat/>
    <w:uiPriority w:val="0"/>
    <w:pPr>
      <w:spacing w:line="240" w:lineRule="exact"/>
      <w:ind w:left="3024"/>
      <w:jc w:val="center"/>
    </w:pPr>
    <w:rPr>
      <w:rFonts w:ascii="Courier" w:hAnsi="Courier" w:eastAsia="宋体" w:cs="Courier"/>
      <w:sz w:val="24"/>
      <w:szCs w:val="24"/>
      <w:lang w:val="de-DE" w:eastAsia="zh-CN" w:bidi="ar-SA"/>
    </w:rPr>
  </w:style>
  <w:style w:type="paragraph" w:customStyle="1" w:styleId="165">
    <w:name w:val="01"/>
    <w:qFormat/>
    <w:uiPriority w:val="0"/>
    <w:pPr>
      <w:tabs>
        <w:tab w:val="left" w:pos="720"/>
        <w:tab w:val="left" w:pos="3024"/>
      </w:tabs>
      <w:spacing w:line="240" w:lineRule="exact"/>
      <w:ind w:left="3024" w:right="144" w:hanging="2304"/>
      <w:jc w:val="center"/>
    </w:pPr>
    <w:rPr>
      <w:rFonts w:ascii="Courier" w:hAnsi="Courier" w:eastAsia="宋体" w:cs="Courier"/>
      <w:sz w:val="24"/>
      <w:szCs w:val="24"/>
      <w:lang w:val="de-DE" w:eastAsia="zh-CN" w:bidi="ar-SA"/>
    </w:rPr>
  </w:style>
  <w:style w:type="paragraph" w:customStyle="1" w:styleId="166">
    <w:name w:val="06"/>
    <w:qFormat/>
    <w:uiPriority w:val="0"/>
    <w:pPr>
      <w:spacing w:line="240" w:lineRule="exact"/>
      <w:ind w:left="720"/>
      <w:jc w:val="center"/>
    </w:pPr>
    <w:rPr>
      <w:rFonts w:ascii="Courier" w:hAnsi="Courier" w:eastAsia="宋体" w:cs="Courier"/>
      <w:sz w:val="24"/>
      <w:szCs w:val="24"/>
      <w:lang w:val="de-DE" w:eastAsia="zh-CN" w:bidi="ar-SA"/>
    </w:rPr>
  </w:style>
  <w:style w:type="paragraph" w:customStyle="1" w:styleId="167">
    <w:name w:val="absatz4"/>
    <w:basedOn w:val="1"/>
    <w:qFormat/>
    <w:uiPriority w:val="0"/>
    <w:pPr>
      <w:widowControl/>
      <w:tabs>
        <w:tab w:val="left" w:pos="709"/>
        <w:tab w:val="left" w:pos="2268"/>
        <w:tab w:val="right" w:pos="10206"/>
      </w:tabs>
      <w:ind w:left="2268" w:hanging="2268"/>
    </w:pPr>
    <w:rPr>
      <w:rFonts w:ascii="Times New Roman" w:hAnsi="Times New Roman" w:eastAsia="宋体" w:cs="Times New Roman"/>
      <w:kern w:val="0"/>
      <w:sz w:val="24"/>
      <w:szCs w:val="24"/>
      <w:lang w:val="en-GB"/>
    </w:rPr>
  </w:style>
  <w:style w:type="paragraph" w:customStyle="1" w:styleId="168">
    <w:name w:val="单位名称"/>
    <w:basedOn w:val="15"/>
    <w:qFormat/>
    <w:uiPriority w:val="0"/>
    <w:pPr>
      <w:widowControl/>
      <w:overflowPunct w:val="0"/>
      <w:autoSpaceDE w:val="0"/>
      <w:autoSpaceDN w:val="0"/>
      <w:adjustRightInd w:val="0"/>
      <w:spacing w:before="120" w:after="80"/>
      <w:textAlignment w:val="baseline"/>
    </w:pPr>
    <w:rPr>
      <w:b/>
      <w:bCs/>
      <w:kern w:val="0"/>
      <w:sz w:val="28"/>
      <w:szCs w:val="28"/>
    </w:rPr>
  </w:style>
  <w:style w:type="paragraph" w:customStyle="1" w:styleId="169">
    <w:name w:val="[No paragraph style]"/>
    <w:qFormat/>
    <w:uiPriority w:val="0"/>
    <w:pPr>
      <w:autoSpaceDE w:val="0"/>
      <w:autoSpaceDN w:val="0"/>
      <w:adjustRightInd w:val="0"/>
      <w:spacing w:line="288" w:lineRule="auto"/>
      <w:jc w:val="center"/>
      <w:textAlignment w:val="center"/>
    </w:pPr>
    <w:rPr>
      <w:rFonts w:ascii="Times New Roman" w:hAnsi="Times New Roman" w:eastAsia="宋体" w:cs="Times New Roman"/>
      <w:color w:val="000000"/>
      <w:sz w:val="24"/>
      <w:szCs w:val="24"/>
      <w:lang w:val="da-DK" w:eastAsia="da-DK" w:bidi="ar-SA"/>
    </w:rPr>
  </w:style>
  <w:style w:type="paragraph" w:customStyle="1" w:styleId="170">
    <w:name w:val="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71">
    <w:name w:val="H-TextFormat"/>
    <w:qFormat/>
    <w:uiPriority w:val="0"/>
    <w:pPr>
      <w:jc w:val="center"/>
    </w:pPr>
    <w:rPr>
      <w:rFonts w:ascii="Arial" w:hAnsi="Arial" w:eastAsia="宋体" w:cs="Arial"/>
      <w:sz w:val="22"/>
      <w:szCs w:val="22"/>
      <w:lang w:val="en-US" w:eastAsia="zh-CN" w:bidi="ar-SA"/>
    </w:rPr>
  </w:style>
  <w:style w:type="paragraph" w:customStyle="1" w:styleId="172">
    <w:name w:val="Preistext 4"/>
    <w:basedOn w:val="1"/>
    <w:qFormat/>
    <w:uiPriority w:val="0"/>
    <w:pPr>
      <w:widowControl/>
      <w:tabs>
        <w:tab w:val="left" w:pos="5178"/>
      </w:tabs>
      <w:ind w:left="-2" w:leftChars="-1" w:right="-93" w:firstLine="2" w:firstLineChars="1"/>
      <w:jc w:val="left"/>
    </w:pPr>
    <w:rPr>
      <w:rFonts w:ascii="Times New Roman" w:hAnsi="Times New Roman" w:eastAsia="宋体" w:cs="Times New Roman"/>
      <w:szCs w:val="21"/>
    </w:rPr>
  </w:style>
  <w:style w:type="paragraph" w:customStyle="1" w:styleId="173">
    <w:name w:val="Preistext2"/>
    <w:basedOn w:val="1"/>
    <w:qFormat/>
    <w:uiPriority w:val="0"/>
    <w:pPr>
      <w:widowControl/>
      <w:tabs>
        <w:tab w:val="left" w:pos="709"/>
        <w:tab w:val="left" w:pos="1701"/>
        <w:tab w:val="left" w:pos="3119"/>
      </w:tabs>
      <w:ind w:left="1843" w:right="1701"/>
      <w:jc w:val="left"/>
    </w:pPr>
    <w:rPr>
      <w:rFonts w:ascii="Arial" w:hAnsi="Arial" w:eastAsia="宋体" w:cs="Arial"/>
      <w:kern w:val="0"/>
      <w:sz w:val="18"/>
      <w:szCs w:val="18"/>
      <w:lang w:val="en-GB" w:eastAsia="de-DE"/>
    </w:rPr>
  </w:style>
  <w:style w:type="paragraph" w:customStyle="1" w:styleId="17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75">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76">
    <w:name w:val="font6"/>
    <w:basedOn w:val="1"/>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177">
    <w:name w:val="正文文本 3 Char"/>
    <w:basedOn w:val="34"/>
    <w:link w:val="14"/>
    <w:qFormat/>
    <w:uiPriority w:val="0"/>
    <w:rPr>
      <w:rFonts w:ascii="Times New Roman" w:hAnsi="Times New Roman" w:eastAsia="宋体" w:cs="Times New Roman"/>
      <w:sz w:val="48"/>
      <w:szCs w:val="48"/>
    </w:rPr>
  </w:style>
  <w:style w:type="character" w:customStyle="1" w:styleId="178">
    <w:name w:val="批注主题 Char"/>
    <w:basedOn w:val="127"/>
    <w:link w:val="31"/>
    <w:qFormat/>
    <w:uiPriority w:val="0"/>
    <w:rPr>
      <w:rFonts w:ascii="Times New Roman" w:hAnsi="Times New Roman" w:eastAsia="宋体" w:cs="Times New Roman"/>
      <w:b/>
      <w:bCs/>
      <w:kern w:val="0"/>
      <w:sz w:val="24"/>
      <w:szCs w:val="24"/>
    </w:rPr>
  </w:style>
  <w:style w:type="paragraph" w:customStyle="1" w:styleId="179">
    <w:name w:val="font7"/>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180">
    <w:name w:val="font8"/>
    <w:basedOn w:val="1"/>
    <w:qFormat/>
    <w:uiPriority w:val="0"/>
    <w:pPr>
      <w:widowControl/>
      <w:spacing w:before="100" w:beforeAutospacing="1" w:after="100" w:afterAutospacing="1"/>
      <w:jc w:val="left"/>
    </w:pPr>
    <w:rPr>
      <w:rFonts w:ascii="Times New Roman" w:hAnsi="Times New Roman" w:eastAsia="宋体" w:cs="Times New Roman"/>
      <w:b/>
      <w:bCs/>
      <w:kern w:val="0"/>
      <w:sz w:val="22"/>
    </w:rPr>
  </w:style>
  <w:style w:type="paragraph" w:customStyle="1" w:styleId="181">
    <w:name w:val="font9"/>
    <w:basedOn w:val="1"/>
    <w:qFormat/>
    <w:uiPriority w:val="0"/>
    <w:pPr>
      <w:widowControl/>
      <w:spacing w:before="100" w:beforeAutospacing="1" w:after="100" w:afterAutospacing="1"/>
      <w:jc w:val="left"/>
    </w:pPr>
    <w:rPr>
      <w:rFonts w:ascii="楷体_GB2312" w:hAnsi="宋体" w:eastAsia="楷体_GB2312" w:cs="楷体_GB2312"/>
      <w:b/>
      <w:bCs/>
      <w:kern w:val="0"/>
      <w:sz w:val="22"/>
    </w:rPr>
  </w:style>
  <w:style w:type="paragraph" w:customStyle="1" w:styleId="182">
    <w:name w:val="font10"/>
    <w:basedOn w:val="1"/>
    <w:qFormat/>
    <w:uiPriority w:val="0"/>
    <w:pPr>
      <w:widowControl/>
      <w:spacing w:before="100" w:beforeAutospacing="1" w:after="100" w:afterAutospacing="1"/>
      <w:jc w:val="left"/>
    </w:pPr>
    <w:rPr>
      <w:rFonts w:ascii="Arial" w:hAnsi="Arial" w:eastAsia="宋体" w:cs="Arial"/>
      <w:b/>
      <w:bCs/>
      <w:kern w:val="0"/>
      <w:sz w:val="22"/>
    </w:rPr>
  </w:style>
  <w:style w:type="paragraph" w:customStyle="1" w:styleId="18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5">
    <w:name w:val="xl2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86">
    <w:name w:val="xl2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7">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9">
    <w:name w:val="xl3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9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91">
    <w:name w:val="xl33"/>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92">
    <w:name w:val="xl34"/>
    <w:basedOn w:val="1"/>
    <w:qFormat/>
    <w:uiPriority w:val="0"/>
    <w:pPr>
      <w:widowControl/>
      <w:pBdr>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93">
    <w:name w:val="xl35"/>
    <w:basedOn w:val="1"/>
    <w:qFormat/>
    <w:uiPriority w:val="0"/>
    <w:pPr>
      <w:widowControl/>
      <w:pBdr>
        <w:top w:val="double" w:color="auto" w:sz="6" w:space="0"/>
        <w:left w:val="double" w:color="auto" w:sz="6" w:space="0"/>
        <w:bottom w:val="double" w:color="auto" w:sz="6"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94">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2"/>
    </w:rPr>
  </w:style>
  <w:style w:type="paragraph" w:customStyle="1" w:styleId="195">
    <w:name w:val="xl37"/>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cs="宋体"/>
      <w:b/>
      <w:bCs/>
      <w:color w:val="FF0000"/>
      <w:kern w:val="0"/>
      <w:sz w:val="24"/>
      <w:szCs w:val="24"/>
    </w:rPr>
  </w:style>
  <w:style w:type="paragraph" w:customStyle="1" w:styleId="196">
    <w:name w:val="xl3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2"/>
    </w:rPr>
  </w:style>
  <w:style w:type="paragraph" w:customStyle="1" w:styleId="197">
    <w:name w:val="xl39"/>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cs="宋体"/>
      <w:b/>
      <w:bCs/>
      <w:color w:val="FF0000"/>
      <w:kern w:val="0"/>
      <w:sz w:val="24"/>
      <w:szCs w:val="24"/>
    </w:rPr>
  </w:style>
  <w:style w:type="paragraph" w:customStyle="1" w:styleId="198">
    <w:name w:val="表格文字"/>
    <w:basedOn w:val="1"/>
    <w:qFormat/>
    <w:uiPriority w:val="0"/>
    <w:pPr>
      <w:snapToGrid w:val="0"/>
      <w:spacing w:before="120"/>
    </w:pPr>
    <w:rPr>
      <w:rFonts w:ascii="Times New Roman" w:hAnsi="Times New Roman" w:eastAsia="宋体" w:cs="Times New Roman"/>
      <w:szCs w:val="21"/>
    </w:rPr>
  </w:style>
  <w:style w:type="paragraph" w:customStyle="1" w:styleId="199">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00">
    <w:name w:val="Char Char Char Char"/>
    <w:basedOn w:val="1"/>
    <w:qFormat/>
    <w:uiPriority w:val="0"/>
    <w:pPr>
      <w:numPr>
        <w:ilvl w:val="0"/>
        <w:numId w:val="1"/>
      </w:numPr>
      <w:spacing w:line="360" w:lineRule="auto"/>
    </w:pPr>
    <w:rPr>
      <w:rFonts w:ascii="宋体" w:hAnsi="宋体" w:eastAsia="宋体" w:cs="Times New Roman"/>
      <w:spacing w:val="20"/>
      <w:szCs w:val="21"/>
    </w:rPr>
  </w:style>
  <w:style w:type="character" w:customStyle="1" w:styleId="201">
    <w:name w:val="页脚 Char"/>
    <w:qFormat/>
    <w:uiPriority w:val="99"/>
    <w:rPr>
      <w:kern w:val="2"/>
      <w:sz w:val="18"/>
    </w:rPr>
  </w:style>
  <w:style w:type="character" w:customStyle="1" w:styleId="202">
    <w:name w:val="页眉 Char"/>
    <w:qFormat/>
    <w:uiPriority w:val="99"/>
    <w:rPr>
      <w:kern w:val="2"/>
      <w:sz w:val="18"/>
    </w:rPr>
  </w:style>
  <w:style w:type="character" w:customStyle="1" w:styleId="203">
    <w:name w:val="文档结构图 字符"/>
    <w:basedOn w:val="34"/>
    <w:semiHidden/>
    <w:qFormat/>
    <w:uiPriority w:val="99"/>
    <w:rPr>
      <w:rFonts w:ascii="Microsoft YaHei UI" w:eastAsia="Microsoft YaHei UI"/>
      <w:sz w:val="18"/>
      <w:szCs w:val="18"/>
    </w:rPr>
  </w:style>
  <w:style w:type="character" w:customStyle="1" w:styleId="204">
    <w:name w:val="文档结构图 Char"/>
    <w:link w:val="12"/>
    <w:qFormat/>
    <w:uiPriority w:val="0"/>
    <w:rPr>
      <w:rFonts w:ascii="宋体" w:hAnsi="Times New Roman" w:eastAsia="宋体" w:cs="Times New Roman"/>
      <w:sz w:val="18"/>
      <w:szCs w:val="18"/>
    </w:rPr>
  </w:style>
  <w:style w:type="character" w:customStyle="1" w:styleId="205">
    <w:name w:val="HTML 预设格式 字符"/>
    <w:basedOn w:val="34"/>
    <w:semiHidden/>
    <w:qFormat/>
    <w:uiPriority w:val="99"/>
    <w:rPr>
      <w:rFonts w:ascii="Courier New" w:hAnsi="Courier New" w:cs="Courier New"/>
      <w:sz w:val="20"/>
      <w:szCs w:val="20"/>
    </w:rPr>
  </w:style>
  <w:style w:type="character" w:customStyle="1" w:styleId="206">
    <w:name w:val="HTML 预设格式 Char"/>
    <w:link w:val="28"/>
    <w:qFormat/>
    <w:uiPriority w:val="99"/>
    <w:rPr>
      <w:rFonts w:ascii="宋体" w:hAnsi="宋体" w:eastAsia="宋体" w:cs="Times New Roman"/>
      <w:kern w:val="0"/>
      <w:sz w:val="24"/>
      <w:szCs w:val="24"/>
    </w:rPr>
  </w:style>
  <w:style w:type="paragraph" w:customStyle="1" w:styleId="207">
    <w:name w:val="彩色列表 - 强调文字颜色 11"/>
    <w:basedOn w:val="1"/>
    <w:qFormat/>
    <w:uiPriority w:val="0"/>
    <w:pPr>
      <w:ind w:firstLine="420" w:firstLineChars="200"/>
    </w:pPr>
    <w:rPr>
      <w:rFonts w:ascii="Calibri" w:hAnsi="Calibri" w:eastAsia="宋体" w:cs="Times New Roman"/>
      <w:sz w:val="30"/>
      <w:szCs w:val="20"/>
    </w:rPr>
  </w:style>
  <w:style w:type="paragraph" w:customStyle="1" w:styleId="208">
    <w:name w:val="列出段落11"/>
    <w:basedOn w:val="1"/>
    <w:qFormat/>
    <w:uiPriority w:val="99"/>
    <w:pPr>
      <w:ind w:firstLine="420" w:firstLineChars="200"/>
    </w:pPr>
    <w:rPr>
      <w:rFonts w:ascii="Times New Roman" w:hAnsi="Times New Roman" w:eastAsia="宋体" w:cs="Times New Roman"/>
      <w:szCs w:val="20"/>
    </w:rPr>
  </w:style>
  <w:style w:type="paragraph" w:customStyle="1" w:styleId="209">
    <w:name w:val="列出段落2"/>
    <w:basedOn w:val="1"/>
    <w:qFormat/>
    <w:uiPriority w:val="99"/>
    <w:pPr>
      <w:ind w:firstLine="420" w:firstLineChars="200"/>
    </w:pPr>
    <w:rPr>
      <w:rFonts w:ascii="宋体" w:hAnsi="Courier New" w:eastAsia="宋体" w:cs="Courier New"/>
      <w:color w:val="000000"/>
      <w:sz w:val="24"/>
      <w:szCs w:val="24"/>
    </w:rPr>
  </w:style>
  <w:style w:type="paragraph" w:customStyle="1" w:styleId="210">
    <w:name w:val="_Style 206"/>
    <w:basedOn w:val="1"/>
    <w:next w:val="56"/>
    <w:qFormat/>
    <w:uiPriority w:val="34"/>
    <w:pPr>
      <w:ind w:firstLine="420" w:firstLineChars="200"/>
    </w:pPr>
    <w:rPr>
      <w:rFonts w:ascii="Times New Roman" w:hAnsi="Times New Roman" w:eastAsia="宋体" w:cs="Times New Roman"/>
      <w:szCs w:val="24"/>
    </w:rPr>
  </w:style>
  <w:style w:type="character" w:customStyle="1" w:styleId="211">
    <w:name w:val="NormalCharacter"/>
    <w:qFormat/>
    <w:uiPriority w:val="0"/>
    <w:rPr>
      <w:rFonts w:ascii="Times New Roman" w:hAnsi="Times New Roman" w:eastAsia="宋体"/>
    </w:rPr>
  </w:style>
  <w:style w:type="paragraph" w:customStyle="1" w:styleId="212">
    <w:name w:val="Table Paragraph"/>
    <w:basedOn w:val="1"/>
    <w:qFormat/>
    <w:uiPriority w:val="1"/>
  </w:style>
  <w:style w:type="character" w:customStyle="1" w:styleId="213">
    <w:name w:val="fontstyle01"/>
    <w:basedOn w:val="34"/>
    <w:qFormat/>
    <w:uiPriority w:val="0"/>
    <w:rPr>
      <w:rFonts w:hint="eastAsia" w:ascii="宋体" w:hAnsi="宋体" w:eastAsia="宋体"/>
      <w:color w:val="000000"/>
      <w:sz w:val="18"/>
      <w:szCs w:val="18"/>
    </w:rPr>
  </w:style>
  <w:style w:type="character" w:customStyle="1" w:styleId="214">
    <w:name w:val="fontstyle21"/>
    <w:basedOn w:val="34"/>
    <w:qFormat/>
    <w:uiPriority w:val="0"/>
    <w:rPr>
      <w:rFonts w:hint="default" w:ascii="TimesNewRomanPSMT" w:hAnsi="TimesNewRomanPSMT"/>
      <w:color w:val="000000"/>
      <w:sz w:val="18"/>
      <w:szCs w:val="18"/>
    </w:rPr>
  </w:style>
  <w:style w:type="character" w:customStyle="1" w:styleId="215">
    <w:name w:val="font21"/>
    <w:basedOn w:val="34"/>
    <w:qFormat/>
    <w:uiPriority w:val="0"/>
    <w:rPr>
      <w:rFonts w:hint="eastAsia" w:ascii="微软雅黑" w:hAnsi="微软雅黑" w:eastAsia="微软雅黑" w:cs="微软雅黑"/>
      <w:color w:val="000000"/>
      <w:sz w:val="20"/>
      <w:szCs w:val="20"/>
      <w:u w:val="none"/>
    </w:rPr>
  </w:style>
  <w:style w:type="character" w:customStyle="1" w:styleId="216">
    <w:name w:val="font31"/>
    <w:basedOn w:val="34"/>
    <w:qFormat/>
    <w:uiPriority w:val="0"/>
    <w:rPr>
      <w:rFonts w:ascii="72" w:hAnsi="72" w:eastAsia="72" w:cs="72"/>
      <w:color w:val="000000"/>
      <w:sz w:val="20"/>
      <w:szCs w:val="20"/>
      <w:u w:val="none"/>
    </w:rPr>
  </w:style>
  <w:style w:type="paragraph" w:customStyle="1" w:styleId="217">
    <w:name w:val="Default"/>
    <w:qFormat/>
    <w:uiPriority w:val="0"/>
    <w:pPr>
      <w:widowControl w:val="0"/>
      <w:autoSpaceDE w:val="0"/>
      <w:autoSpaceDN w:val="0"/>
      <w:adjustRightInd w:val="0"/>
      <w:spacing w:after="0" w:line="240" w:lineRule="auto"/>
    </w:pPr>
    <w:rPr>
      <w:rFonts w:ascii="宋体" w:eastAsia="宋体" w:cs="宋体" w:hAnsiTheme="majorHAnsi"/>
      <w:color w:val="000000"/>
      <w:sz w:val="24"/>
      <w:szCs w:val="24"/>
      <w:lang w:val="en-US" w:eastAsia="zh-CN" w:bidi="ar-SA"/>
    </w:rPr>
  </w:style>
  <w:style w:type="character" w:customStyle="1" w:styleId="218">
    <w:name w:val="font01"/>
    <w:basedOn w:val="34"/>
    <w:qFormat/>
    <w:uiPriority w:val="0"/>
    <w:rPr>
      <w:rFonts w:hint="eastAsia" w:ascii="宋体" w:hAnsi="宋体" w:eastAsia="宋体" w:cs="宋体"/>
      <w:color w:val="000000"/>
      <w:sz w:val="22"/>
      <w:szCs w:val="22"/>
      <w:u w:val="none"/>
    </w:rPr>
  </w:style>
  <w:style w:type="paragraph" w:customStyle="1" w:styleId="219">
    <w:name w:val="Other|1"/>
    <w:basedOn w:val="1"/>
    <w:qFormat/>
    <w:uiPriority w:val="0"/>
    <w:pPr>
      <w:ind w:firstLine="420"/>
      <w:jc w:val="left"/>
    </w:pPr>
    <w:rPr>
      <w:rFonts w:ascii="宋体" w:hAnsi="宋体" w:cs="宋体"/>
      <w:kern w:val="0"/>
      <w:sz w:val="20"/>
      <w:szCs w:val="20"/>
      <w:lang w:val="zh-TW" w:eastAsia="zh-TW" w:bidi="zh-TW"/>
    </w:rPr>
  </w:style>
  <w:style w:type="paragraph" w:customStyle="1" w:styleId="220">
    <w:name w:val="Table Text"/>
    <w:basedOn w:val="1"/>
    <w:semiHidden/>
    <w:qFormat/>
    <w:uiPriority w:val="0"/>
    <w:rPr>
      <w:rFonts w:ascii="宋体" w:hAnsi="宋体" w:eastAsia="宋体" w:cs="宋体"/>
      <w:sz w:val="18"/>
      <w:szCs w:val="18"/>
      <w:lang w:val="en-US" w:eastAsia="en-US" w:bidi="ar-SA"/>
    </w:rPr>
  </w:style>
  <w:style w:type="table" w:customStyle="1" w:styleId="221">
    <w:name w:val="Table Normal"/>
    <w:unhideWhenUsed/>
    <w:qFormat/>
    <w:uiPriority w:val="0"/>
    <w:tblPr>
      <w:tblLayout w:type="fixed"/>
      <w:tblCellMar>
        <w:top w:w="0" w:type="dxa"/>
        <w:left w:w="0" w:type="dxa"/>
        <w:bottom w:w="0" w:type="dxa"/>
        <w:right w:w="0" w:type="dxa"/>
      </w:tblCellMar>
    </w:tblPr>
  </w:style>
  <w:style w:type="paragraph" w:customStyle="1" w:styleId="22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9"/>
    <customShpInfo spid="_x0000_s4097"/>
    <customShpInfo spid="_x0000_s4101"/>
    <customShpInfo spid="_x0000_s4102"/>
    <customShpInfo spid="_x0000_s4103"/>
    <customShpInfo spid="_x0000_s4100"/>
    <customShpInfo spid="_x0000_s4105"/>
    <customShpInfo spid="_x0000_s410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7562</Words>
  <Characters>8514</Characters>
  <Lines>12</Lines>
  <Paragraphs>17</Paragraphs>
  <TotalTime>10</TotalTime>
  <ScaleCrop>false</ScaleCrop>
  <LinksUpToDate>false</LinksUpToDate>
  <CharactersWithSpaces>8624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2023-01-26T03:58:00Z</dcterms:created>
  <dc:creator>zhang jun</dc:creator>
  <cp:lastModifiedBy>045</cp:lastModifiedBy>
  <dcterms:modified xsi:type="dcterms:W3CDTF">2025-08-27T05:22:49Z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50392405035949F99133AD1E507EB3CB_13</vt:lpwstr>
  </property>
  <property fmtid="{D5CDD505-2E9C-101B-9397-08002B2CF9AE}" pid="4" name="KSOTemplateDocerSaveRecord">
    <vt:lpwstr>eyJoZGlkIjoiMDY0MTM1YmQ5YzYyY2MzYzViYWIwOTc4NGFmODliNTEiLCJ1c2VySWQiOiIzNzExMzcyMTMifQ==</vt:lpwstr>
  </property>
</Properties>
</file>