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rPr>
      </w:pPr>
      <w:r>
        <w:rPr>
          <w:rFonts w:hint="eastAsia" w:ascii="宋体" w:hAnsi="宋体" w:eastAsia="宋体" w:cs="Times New Roman"/>
          <w:b/>
          <w:sz w:val="48"/>
          <w:szCs w:val="48"/>
        </w:rPr>
        <w:t>人乳头瘤病毒基因分型（23型）检测试剂盒</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48"/>
          <w:szCs w:val="48"/>
          <w:lang w:val="en-US" w:eastAsia="zh-CN"/>
        </w:rPr>
        <w:t>等</w:t>
      </w:r>
      <w:r>
        <w:rPr>
          <w:rFonts w:hint="eastAsia" w:ascii="宋体" w:hAnsi="宋体" w:eastAsia="宋体" w:cs="Times New Roman"/>
          <w:b/>
          <w:sz w:val="48"/>
          <w:szCs w:val="48"/>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5</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7</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14</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9</w:t>
      </w:r>
      <w:r>
        <w:rPr>
          <w:rFonts w:hint="eastAsia"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0</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14</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5</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Borders>
            <w:top w:val="none" w:sz="0" w:space="0"/>
            <w:left w:val="none" w:sz="0" w:space="0"/>
            <w:bottom w:val="none" w:sz="0" w:space="0"/>
            <w:right w:val="none" w:sz="0" w:space="0"/>
          </w:pgBorders>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1"/>
      <w:bookmarkStart w:id="3" w:name="OLE_LINK16"/>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77"/>
      <w:bookmarkStart w:id="5"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包件一：人乳头瘤病毒基因分型（23型）检测试剂盒</w:t>
      </w:r>
    </w:p>
    <w:p>
      <w:pPr>
        <w:numPr>
          <w:ilvl w:val="0"/>
          <w:numId w:val="0"/>
        </w:numPr>
        <w:autoSpaceDE w:val="0"/>
        <w:autoSpaceDN w:val="0"/>
        <w:spacing w:line="360" w:lineRule="auto"/>
        <w:ind w:leftChars="27" w:firstLine="1440" w:firstLineChars="600"/>
        <w:rPr>
          <w:rFonts w:hint="eastAsia" w:ascii="宋体" w:hAnsi="宋体" w:eastAsia="宋体" w:cs="宋体"/>
          <w:b w:val="0"/>
          <w:bCs w:val="0"/>
          <w:sz w:val="24"/>
          <w:szCs w:val="24"/>
          <w:lang w:val="en-US" w:eastAsia="zh-CN"/>
        </w:rPr>
      </w:pPr>
      <w:r>
        <w:rPr>
          <w:rFonts w:hint="eastAsia" w:ascii="宋体" w:hAnsi="宋体" w:eastAsia="宋体" w:cs="宋体"/>
          <w:kern w:val="0"/>
          <w:sz w:val="24"/>
          <w:szCs w:val="24"/>
          <w:highlight w:val="none"/>
          <w:lang w:val="en-US" w:eastAsia="zh-CN"/>
        </w:rPr>
        <w:t>包件二：</w:t>
      </w:r>
      <w:r>
        <w:rPr>
          <w:rFonts w:hint="eastAsia" w:ascii="宋体" w:hAnsi="宋体" w:eastAsia="宋体" w:cs="宋体"/>
          <w:b w:val="0"/>
          <w:bCs w:val="0"/>
          <w:sz w:val="24"/>
          <w:szCs w:val="24"/>
          <w:lang w:val="en-US" w:eastAsia="zh-CN"/>
        </w:rPr>
        <w:t>心肺功能五项联检测试剂盒</w:t>
      </w:r>
    </w:p>
    <w:p>
      <w:pPr>
        <w:numPr>
          <w:ilvl w:val="0"/>
          <w:numId w:val="0"/>
        </w:numPr>
        <w:autoSpaceDE w:val="0"/>
        <w:autoSpaceDN w:val="0"/>
        <w:spacing w:line="360" w:lineRule="auto"/>
        <w:ind w:leftChars="27" w:firstLine="1440" w:firstLineChars="6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包件三：微生物检测相关试剂</w:t>
      </w:r>
    </w:p>
    <w:p>
      <w:pPr>
        <w:numPr>
          <w:ilvl w:val="0"/>
          <w:numId w:val="0"/>
        </w:numPr>
        <w:autoSpaceDE w:val="0"/>
        <w:autoSpaceDN w:val="0"/>
        <w:spacing w:line="360" w:lineRule="auto"/>
        <w:ind w:leftChars="27" w:firstLine="1440" w:firstLineChars="600"/>
        <w:rPr>
          <w:rFonts w:hint="eastAsia" w:ascii="宋体" w:hAnsi="宋体" w:eastAsia="宋体"/>
          <w:b w:val="0"/>
          <w:bCs w:val="0"/>
          <w:sz w:val="24"/>
          <w:szCs w:val="24"/>
          <w:highlight w:val="none"/>
          <w:lang w:val="en-US" w:eastAsia="zh-CN"/>
        </w:rPr>
      </w:pPr>
      <w:r>
        <w:rPr>
          <w:rFonts w:hint="eastAsia" w:ascii="宋体" w:hAnsi="宋体" w:eastAsia="宋体" w:cs="宋体"/>
          <w:b w:val="0"/>
          <w:bCs w:val="0"/>
          <w:sz w:val="24"/>
          <w:szCs w:val="24"/>
          <w:lang w:val="en-US" w:eastAsia="zh-CN"/>
        </w:rPr>
        <w:t>包件四：</w:t>
      </w:r>
      <w:r>
        <w:rPr>
          <w:rFonts w:hint="eastAsia" w:ascii="宋体" w:hAnsi="宋体" w:eastAsia="宋体"/>
          <w:b w:val="0"/>
          <w:bCs w:val="0"/>
          <w:sz w:val="24"/>
          <w:szCs w:val="24"/>
          <w:highlight w:val="none"/>
          <w:lang w:val="en-US" w:eastAsia="zh-CN"/>
        </w:rPr>
        <w:t>甘胆酸检测试剂盒</w:t>
      </w:r>
    </w:p>
    <w:p>
      <w:pPr>
        <w:numPr>
          <w:ilvl w:val="0"/>
          <w:numId w:val="0"/>
        </w:numPr>
        <w:autoSpaceDE w:val="0"/>
        <w:autoSpaceDN w:val="0"/>
        <w:spacing w:line="360" w:lineRule="auto"/>
        <w:ind w:leftChars="27" w:firstLine="1440" w:firstLineChars="600"/>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包件五：呼吸道三项抗原检测</w:t>
      </w:r>
    </w:p>
    <w:p>
      <w:pPr>
        <w:numPr>
          <w:ilvl w:val="0"/>
          <w:numId w:val="0"/>
        </w:numPr>
        <w:autoSpaceDE w:val="0"/>
        <w:autoSpaceDN w:val="0"/>
        <w:spacing w:line="360" w:lineRule="auto"/>
        <w:ind w:leftChars="27" w:firstLine="1440" w:firstLineChars="600"/>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包件六：病原体和感染因子类的检测相关试剂</w:t>
      </w:r>
    </w:p>
    <w:p>
      <w:pPr>
        <w:numPr>
          <w:ilvl w:val="0"/>
          <w:numId w:val="0"/>
        </w:numPr>
        <w:autoSpaceDE w:val="0"/>
        <w:autoSpaceDN w:val="0"/>
        <w:spacing w:line="360" w:lineRule="auto"/>
        <w:ind w:leftChars="27" w:firstLine="1440" w:firstLineChars="600"/>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包件七：血糖试条</w:t>
      </w:r>
    </w:p>
    <w:p>
      <w:pPr>
        <w:numPr>
          <w:ilvl w:val="0"/>
          <w:numId w:val="0"/>
        </w:numPr>
        <w:autoSpaceDE w:val="0"/>
        <w:autoSpaceDN w:val="0"/>
        <w:spacing w:line="360" w:lineRule="auto"/>
        <w:ind w:leftChars="27" w:firstLine="1440" w:firstLineChars="600"/>
        <w:rPr>
          <w:rFonts w:hint="default"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包件八：荧光染色液</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技术要求：见本询价通知书第四章“货物需求一览表及技术规格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14</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16</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9"/>
          <w:rFonts w:ascii="Times New Roman" w:hAnsi="Times New Roman" w:eastAsia="宋体"/>
          <w:sz w:val="24"/>
          <w:szCs w:val="24"/>
          <w:highlight w:val="none"/>
        </w:rPr>
        <w:t>https</w:t>
      </w:r>
      <w:r>
        <w:rPr>
          <w:rStyle w:val="39"/>
          <w:rFonts w:ascii="宋体" w:hAnsi="宋体" w:eastAsia="宋体"/>
          <w:sz w:val="24"/>
          <w:szCs w:val="24"/>
          <w:highlight w:val="none"/>
        </w:rPr>
        <w:t>://</w:t>
      </w:r>
      <w:r>
        <w:rPr>
          <w:rStyle w:val="39"/>
          <w:rFonts w:ascii="Times New Roman" w:hAnsi="Times New Roman" w:eastAsia="宋体"/>
          <w:sz w:val="24"/>
          <w:szCs w:val="24"/>
          <w:highlight w:val="none"/>
        </w:rPr>
        <w:t>www</w:t>
      </w:r>
      <w:r>
        <w:rPr>
          <w:rStyle w:val="39"/>
          <w:rFonts w:ascii="宋体" w:hAnsi="宋体" w:eastAsia="宋体"/>
          <w:sz w:val="24"/>
          <w:szCs w:val="24"/>
          <w:highlight w:val="none"/>
        </w:rPr>
        <w:t>.</w:t>
      </w:r>
      <w:r>
        <w:rPr>
          <w:rStyle w:val="39"/>
          <w:rFonts w:ascii="Times New Roman" w:hAnsi="Times New Roman" w:eastAsia="宋体"/>
          <w:sz w:val="24"/>
          <w:szCs w:val="24"/>
          <w:highlight w:val="none"/>
        </w:rPr>
        <w:t>szy</w:t>
      </w:r>
      <w:r>
        <w:rPr>
          <w:rStyle w:val="39"/>
          <w:rFonts w:ascii="宋体" w:hAnsi="宋体" w:eastAsia="宋体"/>
          <w:sz w:val="24"/>
          <w:szCs w:val="24"/>
          <w:highlight w:val="none"/>
        </w:rPr>
        <w:t>.</w:t>
      </w:r>
      <w:r>
        <w:rPr>
          <w:rStyle w:val="39"/>
          <w:rFonts w:ascii="Times New Roman" w:hAnsi="Times New Roman" w:eastAsia="宋体"/>
          <w:sz w:val="24"/>
          <w:szCs w:val="24"/>
          <w:highlight w:val="none"/>
        </w:rPr>
        <w:t>sh</w:t>
      </w:r>
      <w:r>
        <w:rPr>
          <w:rStyle w:val="39"/>
          <w:rFonts w:ascii="宋体" w:hAnsi="宋体" w:eastAsia="宋体"/>
          <w:sz w:val="24"/>
          <w:szCs w:val="24"/>
          <w:highlight w:val="none"/>
        </w:rPr>
        <w:t>.</w:t>
      </w:r>
      <w:r>
        <w:rPr>
          <w:rStyle w:val="39"/>
          <w:rFonts w:ascii="Times New Roman" w:hAnsi="Times New Roman" w:eastAsia="宋体"/>
          <w:sz w:val="24"/>
          <w:szCs w:val="24"/>
          <w:highlight w:val="none"/>
        </w:rPr>
        <w:t>cn</w:t>
      </w:r>
      <w:r>
        <w:rPr>
          <w:rStyle w:val="39"/>
          <w:rFonts w:ascii="宋体" w:hAnsi="宋体" w:eastAsia="宋体"/>
          <w:sz w:val="24"/>
          <w:szCs w:val="24"/>
          <w:highlight w:val="none"/>
        </w:rPr>
        <w:t>/</w:t>
      </w:r>
      <w:r>
        <w:rPr>
          <w:rStyle w:val="39"/>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7</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16</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21</w:t>
      </w:r>
      <w:r>
        <w:rPr>
          <w:rFonts w:hint="eastAsia" w:ascii="宋体" w:hAnsi="宋体" w:eastAsia="宋体" w:cs="Times New Roman"/>
          <w:sz w:val="24"/>
          <w:szCs w:val="24"/>
          <w:highlight w:val="none"/>
        </w:rPr>
        <w:t>日</w:t>
      </w:r>
      <w:r>
        <w:rPr>
          <w:rFonts w:hint="eastAsia" w:ascii="宋体" w:hAnsi="宋体" w:eastAsia="宋体" w:cs="Times New Roman"/>
          <w:sz w:val="24"/>
          <w:szCs w:val="24"/>
          <w:highlight w:val="none"/>
        </w:rPr>
        <w:t>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地点：中国上海市</w:t>
      </w:r>
      <w:r>
        <w:rPr>
          <w:rFonts w:hint="eastAsia" w:ascii="宋体" w:hAnsi="宋体" w:eastAsia="宋体" w:cs="Times New Roman"/>
          <w:sz w:val="24"/>
          <w:szCs w:val="24"/>
          <w:highlight w:val="none"/>
          <w:lang w:val="en-US" w:eastAsia="zh-CN"/>
        </w:rPr>
        <w:t>嘉定区荣联路68</w:t>
      </w:r>
      <w:r>
        <w:rPr>
          <w:rFonts w:hint="eastAsia" w:ascii="宋体" w:hAnsi="宋体" w:eastAsia="宋体" w:cs="Times New Roman"/>
          <w:sz w:val="24"/>
          <w:szCs w:val="24"/>
          <w:highlight w:val="none"/>
        </w:rPr>
        <w:t>号上海市中医医院采购处</w:t>
      </w:r>
    </w:p>
    <w:bookmarkEnd w:id="6"/>
    <w:bookmarkEnd w:id="7"/>
    <w:p>
      <w:pPr>
        <w:autoSpaceDE w:val="0"/>
        <w:autoSpaceDN w:val="0"/>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陆海玲</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516880880"/>
      <w:bookmarkStart w:id="9" w:name="_Toc9066359"/>
      <w:bookmarkStart w:id="10" w:name="_Toc11326093"/>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2"/>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项目名称：人乳头瘤病毒基因分型（23型）检测试剂盒</w:t>
            </w:r>
            <w:r>
              <w:rPr>
                <w:rFonts w:hint="eastAsia" w:ascii="宋体" w:hAnsi="宋体" w:eastAsia="宋体" w:cs="Times New Roman"/>
                <w:sz w:val="24"/>
                <w:szCs w:val="20"/>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autoSpaceDE w:val="0"/>
              <w:autoSpaceDN w:val="0"/>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合同名称：人乳头瘤病毒基因分型（23型）检测试剂盒</w:t>
            </w:r>
            <w:r>
              <w:rPr>
                <w:rFonts w:hint="eastAsia" w:ascii="宋体" w:hAnsi="宋体" w:eastAsia="宋体" w:cs="Times New Roman"/>
                <w:sz w:val="24"/>
                <w:szCs w:val="20"/>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val="en-US"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（2）投标人应是专业生产本次所需主系统设备的制造商或制造商唯一授权的参与本次投标的代理商，且应得到制造商针对本次投标项目的制造商授权书，授权书的有效期应至少与投标有效期一致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1</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21</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w:t>
            </w:r>
            <w:r>
              <w:rPr>
                <w:rFonts w:hint="eastAsia" w:ascii="宋体" w:hAnsi="宋体" w:eastAsia="宋体" w:cs="Times New Roman"/>
                <w:sz w:val="24"/>
                <w:szCs w:val="20"/>
                <w:highlight w:val="none"/>
                <w:lang w:val="en-US" w:eastAsia="zh-CN"/>
              </w:rPr>
              <w:t>以及</w:t>
            </w:r>
            <w:r>
              <w:rPr>
                <w:rFonts w:hint="eastAsia" w:ascii="宋体" w:hAnsi="宋体" w:eastAsia="宋体" w:cs="Times New Roman"/>
                <w:sz w:val="24"/>
                <w:szCs w:val="20"/>
                <w:highlight w:val="none"/>
              </w:rPr>
              <w:t>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中标人的确定：</w:t>
            </w:r>
            <w:r>
              <w:rPr>
                <w:rFonts w:hint="eastAsia" w:ascii="宋体" w:hAnsi="宋体" w:eastAsia="宋体" w:cs="Times New Roman"/>
                <w:sz w:val="24"/>
                <w:szCs w:val="20"/>
                <w:highlight w:val="none"/>
                <w:lang w:val="en-US" w:eastAsia="zh-CN"/>
              </w:rPr>
              <w:t>均价最低</w:t>
            </w:r>
            <w:r>
              <w:rPr>
                <w:rFonts w:hint="eastAsia" w:ascii="宋体" w:hAnsi="宋体" w:eastAsia="宋体" w:cs="Times New Roman"/>
                <w:sz w:val="24"/>
                <w:szCs w:val="20"/>
                <w:highlight w:val="none"/>
              </w:rPr>
              <w:t>的</w:t>
            </w:r>
            <w:r>
              <w:rPr>
                <w:rFonts w:hint="eastAsia" w:ascii="宋体" w:hAnsi="宋体" w:eastAsia="宋体" w:cs="Times New Roman"/>
                <w:sz w:val="24"/>
                <w:szCs w:val="20"/>
                <w:highlight w:val="none"/>
                <w:lang w:val="en-US" w:eastAsia="zh-CN"/>
              </w:rPr>
              <w:t>投标</w:t>
            </w:r>
            <w:r>
              <w:rPr>
                <w:rFonts w:hint="eastAsia" w:ascii="宋体" w:hAnsi="宋体" w:eastAsia="宋体" w:cs="Times New Roman"/>
                <w:sz w:val="24"/>
                <w:szCs w:val="20"/>
                <w:highlight w:val="none"/>
              </w:rPr>
              <w:t>人为中标人。</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投标货物总价÷货物个数=均价</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9066360"/>
      <w:bookmarkStart w:id="12" w:name="_Toc11326094"/>
      <w:r>
        <w:rPr>
          <w:rFonts w:hint="eastAsia" w:ascii="宋体" w:hAnsi="宋体" w:eastAsia="宋体" w:cs="Times New Roman"/>
          <w:b/>
          <w:sz w:val="36"/>
          <w:szCs w:val="20"/>
        </w:rPr>
        <w:t>第三章 合同专用条款</w:t>
      </w:r>
      <w:bookmarkEnd w:id="11"/>
      <w:bookmarkEnd w:id="12"/>
    </w:p>
    <w:tbl>
      <w:tblPr>
        <w:tblStyle w:val="32"/>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陆海玲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90天</w:t>
            </w:r>
            <w:r>
              <w:rPr>
                <w:rFonts w:hint="eastAsia" w:ascii="宋体" w:hAnsi="宋体" w:eastAsia="宋体" w:cs="宋体"/>
                <w:b w:val="0"/>
                <w:bCs w:val="0"/>
                <w:sz w:val="24"/>
                <w:szCs w:val="24"/>
              </w:rPr>
              <w:t>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p>
    <w:p>
      <w:pPr>
        <w:pStyle w:val="56"/>
        <w:numPr>
          <w:ilvl w:val="0"/>
          <w:numId w:val="0"/>
        </w:numPr>
        <w:spacing w:line="360" w:lineRule="auto"/>
        <w:ind w:leftChars="0"/>
        <w:rPr>
          <w:rFonts w:hint="eastAsia" w:ascii="宋体" w:hAnsi="宋体" w:eastAsia="宋体" w:cs="宋体"/>
          <w:b w:val="0"/>
          <w:bCs w:val="0"/>
          <w:sz w:val="24"/>
          <w:szCs w:val="24"/>
          <w:lang w:val="en-US" w:eastAsia="zh-CN"/>
        </w:rPr>
      </w:pPr>
      <w:bookmarkStart w:id="15" w:name="_Toc11326096"/>
      <w:r>
        <w:rPr>
          <w:rFonts w:hint="eastAsia" w:ascii="宋体" w:hAnsi="宋体" w:eastAsia="宋体" w:cs="宋体"/>
          <w:b w:val="0"/>
          <w:bCs w:val="0"/>
          <w:sz w:val="24"/>
          <w:szCs w:val="24"/>
          <w:lang w:val="en-US" w:eastAsia="zh-CN"/>
        </w:rPr>
        <w:t>包件一：</w:t>
      </w:r>
    </w:p>
    <w:p>
      <w:pPr>
        <w:pStyle w:val="56"/>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名称：人乳头瘤病毒基因分型（23型）检测试剂盒</w:t>
      </w:r>
    </w:p>
    <w:p>
      <w:pPr>
        <w:pStyle w:val="56"/>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4"/>
        </w:numPr>
        <w:spacing w:line="360" w:lineRule="auto"/>
        <w:ind w:left="-420" w:leftChars="0" w:firstLine="420" w:firstLineChars="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技术指标要求</w:t>
      </w:r>
      <w:r>
        <w:rPr>
          <w:rFonts w:hint="eastAsia" w:ascii="宋体" w:hAnsi="宋体" w:eastAsia="宋体" w:cs="宋体"/>
          <w:b w:val="0"/>
          <w:bCs w:val="0"/>
          <w:sz w:val="24"/>
          <w:szCs w:val="24"/>
          <w:lang w:eastAsia="zh-CN"/>
        </w:rPr>
        <w:t>：</w:t>
      </w:r>
    </w:p>
    <w:p>
      <w:pPr>
        <w:numPr>
          <w:ilvl w:val="0"/>
          <w:numId w:val="5"/>
        </w:num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highlight w:val="none"/>
        </w:rPr>
        <w:t>★投标人需</w:t>
      </w:r>
      <w:r>
        <w:rPr>
          <w:rFonts w:hint="eastAsia" w:ascii="宋体" w:hAnsi="宋体" w:eastAsia="宋体" w:cs="宋体"/>
          <w:b w:val="0"/>
          <w:bCs w:val="0"/>
          <w:sz w:val="24"/>
          <w:szCs w:val="24"/>
        </w:rPr>
        <w:t>响应医院SPD项目相关要求,并与上药医疗供应链管理(上海)有限公司签署相关SPD协议</w:t>
      </w:r>
      <w:r>
        <w:rPr>
          <w:rFonts w:hint="eastAsia" w:ascii="宋体" w:hAnsi="宋体" w:eastAsia="宋体" w:cs="宋体"/>
          <w:b w:val="0"/>
          <w:bCs w:val="0"/>
          <w:sz w:val="24"/>
          <w:szCs w:val="24"/>
          <w:lang w:eastAsia="zh-CN"/>
        </w:rPr>
        <w:t>。</w:t>
      </w:r>
    </w:p>
    <w:tbl>
      <w:tblPr>
        <w:tblStyle w:val="32"/>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3"/>
        <w:gridCol w:w="1275"/>
        <w:gridCol w:w="7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44" w:hRule="atLeast"/>
          <w:jc w:val="center"/>
        </w:trPr>
        <w:tc>
          <w:tcPr>
            <w:tcW w:w="813"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Style w:val="35"/>
                <w:rFonts w:hint="eastAsia" w:ascii="宋体" w:hAnsi="宋体" w:eastAsia="宋体" w:cs="宋体"/>
                <w:b w:val="0"/>
                <w:bCs/>
                <w:sz w:val="21"/>
                <w:szCs w:val="20"/>
              </w:rPr>
              <w:t>序号</w:t>
            </w:r>
          </w:p>
        </w:tc>
        <w:tc>
          <w:tcPr>
            <w:tcW w:w="1275"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Style w:val="35"/>
                <w:rFonts w:hint="eastAsia" w:ascii="宋体" w:hAnsi="宋体" w:eastAsia="宋体" w:cs="宋体"/>
                <w:b w:val="0"/>
                <w:bCs/>
                <w:sz w:val="21"/>
                <w:szCs w:val="20"/>
              </w:rPr>
              <w:t>内容</w:t>
            </w:r>
          </w:p>
        </w:tc>
        <w:tc>
          <w:tcPr>
            <w:tcW w:w="7467"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Style w:val="35"/>
                <w:rFonts w:hint="eastAsia" w:ascii="宋体" w:hAnsi="宋体" w:eastAsia="宋体" w:cs="宋体"/>
                <w:b w:val="0"/>
                <w:bCs/>
                <w:sz w:val="21"/>
                <w:szCs w:val="20"/>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66" w:hRule="atLeast"/>
          <w:jc w:val="center"/>
        </w:trPr>
        <w:tc>
          <w:tcPr>
            <w:tcW w:w="813"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1</w:t>
            </w:r>
          </w:p>
        </w:tc>
        <w:tc>
          <w:tcPr>
            <w:tcW w:w="1275"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注册证</w:t>
            </w:r>
          </w:p>
        </w:tc>
        <w:tc>
          <w:tcPr>
            <w:tcW w:w="7467"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HPV检测产品及配套细胞保存液、采样器全套均</w:t>
            </w:r>
            <w:r>
              <w:rPr>
                <w:rFonts w:hint="eastAsia" w:ascii="宋体" w:hAnsi="宋体" w:eastAsia="宋体" w:cs="宋体"/>
                <w:sz w:val="21"/>
                <w:szCs w:val="20"/>
                <w:lang w:val="en-US" w:eastAsia="zh-CN"/>
              </w:rPr>
              <w:t>需</w:t>
            </w:r>
            <w:r>
              <w:rPr>
                <w:rFonts w:hint="eastAsia" w:ascii="宋体" w:hAnsi="宋体" w:eastAsia="宋体" w:cs="宋体"/>
                <w:sz w:val="21"/>
                <w:szCs w:val="20"/>
              </w:rPr>
              <w:t>CFDA注册证。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09" w:hRule="atLeast"/>
          <w:jc w:val="center"/>
        </w:trPr>
        <w:tc>
          <w:tcPr>
            <w:tcW w:w="813"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2</w:t>
            </w:r>
          </w:p>
        </w:tc>
        <w:tc>
          <w:tcPr>
            <w:tcW w:w="1275"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检测方法</w:t>
            </w:r>
          </w:p>
        </w:tc>
        <w:tc>
          <w:tcPr>
            <w:tcW w:w="7467"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HPV检测试剂采用PCR-反向点杂交技术或类似方法学，定性检测HPV基因型。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68" w:hRule="atLeast"/>
          <w:jc w:val="center"/>
        </w:trPr>
        <w:tc>
          <w:tcPr>
            <w:tcW w:w="813"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3</w:t>
            </w:r>
          </w:p>
        </w:tc>
        <w:tc>
          <w:tcPr>
            <w:tcW w:w="1275"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检测范围与分型情况</w:t>
            </w:r>
          </w:p>
        </w:tc>
        <w:tc>
          <w:tcPr>
            <w:tcW w:w="7467"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至少能检测并明确分型17种高危HPV型别（16、18、31、33、35、39、45、51、52、53、56、58、59、66、68、73、82）及常见6种低危型别（6、11、42、43、81、83）。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48" w:hRule="atLeast"/>
          <w:jc w:val="center"/>
        </w:trPr>
        <w:tc>
          <w:tcPr>
            <w:tcW w:w="813"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4</w:t>
            </w:r>
          </w:p>
        </w:tc>
        <w:tc>
          <w:tcPr>
            <w:tcW w:w="1275"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产品组成</w:t>
            </w:r>
          </w:p>
        </w:tc>
        <w:tc>
          <w:tcPr>
            <w:tcW w:w="7467"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试剂采用单管单人份规格，无需另外配制PCR反应液和分装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7" w:hRule="atLeast"/>
          <w:jc w:val="center"/>
        </w:trPr>
        <w:tc>
          <w:tcPr>
            <w:tcW w:w="813"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5</w:t>
            </w:r>
          </w:p>
        </w:tc>
        <w:tc>
          <w:tcPr>
            <w:tcW w:w="1275"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检测能力</w:t>
            </w:r>
          </w:p>
        </w:tc>
        <w:tc>
          <w:tcPr>
            <w:tcW w:w="7467"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单次杂交实验可对不</w:t>
            </w:r>
            <w:r>
              <w:rPr>
                <w:rFonts w:hint="eastAsia" w:ascii="宋体" w:hAnsi="宋体" w:eastAsia="宋体" w:cs="宋体"/>
                <w:color w:val="auto"/>
                <w:sz w:val="21"/>
                <w:szCs w:val="20"/>
              </w:rPr>
              <w:t>少于</w:t>
            </w:r>
            <w:r>
              <w:rPr>
                <w:rFonts w:hint="eastAsia" w:ascii="宋体" w:hAnsi="宋体" w:eastAsia="宋体" w:cs="宋体"/>
                <w:color w:val="auto"/>
                <w:sz w:val="21"/>
                <w:szCs w:val="20"/>
                <w:lang w:val="en-US" w:eastAsia="zh-CN"/>
              </w:rPr>
              <w:t>90</w:t>
            </w:r>
            <w:r>
              <w:rPr>
                <w:rFonts w:hint="eastAsia" w:ascii="宋体" w:hAnsi="宋体" w:eastAsia="宋体" w:cs="宋体"/>
                <w:color w:val="auto"/>
                <w:sz w:val="21"/>
                <w:szCs w:val="20"/>
              </w:rPr>
              <w:t>个样</w:t>
            </w:r>
            <w:r>
              <w:rPr>
                <w:rFonts w:hint="eastAsia" w:ascii="宋体" w:hAnsi="宋体" w:eastAsia="宋体" w:cs="宋体"/>
                <w:sz w:val="21"/>
                <w:szCs w:val="20"/>
              </w:rPr>
              <w:t>本进行检测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36" w:hRule="atLeast"/>
          <w:jc w:val="center"/>
        </w:trPr>
        <w:tc>
          <w:tcPr>
            <w:tcW w:w="813"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6</w:t>
            </w:r>
          </w:p>
        </w:tc>
        <w:tc>
          <w:tcPr>
            <w:tcW w:w="1275"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实验质控</w:t>
            </w:r>
          </w:p>
        </w:tc>
        <w:tc>
          <w:tcPr>
            <w:tcW w:w="7467"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试剂具有内对照，可监控整个操作流程，可评估样本质量及PCR抑制因素。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8" w:hRule="atLeast"/>
          <w:jc w:val="center"/>
        </w:trPr>
        <w:tc>
          <w:tcPr>
            <w:tcW w:w="813"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7</w:t>
            </w:r>
          </w:p>
        </w:tc>
        <w:tc>
          <w:tcPr>
            <w:tcW w:w="1275"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生物安全</w:t>
            </w:r>
          </w:p>
        </w:tc>
        <w:tc>
          <w:tcPr>
            <w:tcW w:w="7467"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试剂具有UNG酶防污染系统。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09" w:hRule="atLeast"/>
          <w:jc w:val="center"/>
        </w:trPr>
        <w:tc>
          <w:tcPr>
            <w:tcW w:w="813"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8</w:t>
            </w:r>
          </w:p>
        </w:tc>
        <w:tc>
          <w:tcPr>
            <w:tcW w:w="1275"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灵活性</w:t>
            </w:r>
          </w:p>
        </w:tc>
        <w:tc>
          <w:tcPr>
            <w:tcW w:w="7467" w:type="dxa"/>
            <w:tcMar>
              <w:top w:w="0" w:type="dxa"/>
              <w:left w:w="105" w:type="dxa"/>
              <w:bottom w:w="0" w:type="dxa"/>
              <w:right w:w="105" w:type="dxa"/>
            </w:tcMar>
            <w:vAlign w:val="center"/>
          </w:tcPr>
          <w:p>
            <w:pPr>
              <w:pStyle w:val="29"/>
              <w:widowControl/>
              <w:spacing w:before="240" w:beforeAutospacing="0" w:after="150" w:afterAutospacing="0"/>
              <w:jc w:val="both"/>
              <w:rPr>
                <w:rFonts w:hint="eastAsia" w:ascii="宋体" w:hAnsi="宋体" w:eastAsia="宋体" w:cs="宋体"/>
                <w:sz w:val="21"/>
                <w:szCs w:val="20"/>
              </w:rPr>
            </w:pPr>
            <w:r>
              <w:rPr>
                <w:rFonts w:hint="eastAsia" w:ascii="宋体" w:hAnsi="宋体" w:eastAsia="宋体" w:cs="宋体"/>
                <w:sz w:val="21"/>
                <w:szCs w:val="20"/>
              </w:rPr>
              <w:t>不同批号试剂盒中各组分可以互换使用，以应对实验过程中一些突发情况。</w:t>
            </w:r>
          </w:p>
        </w:tc>
      </w:tr>
    </w:tbl>
    <w:p>
      <w:pPr>
        <w:numPr>
          <w:ilvl w:val="0"/>
          <w:numId w:val="0"/>
        </w:numPr>
        <w:spacing w:line="360" w:lineRule="auto"/>
        <w:ind w:leftChars="0"/>
        <w:rPr>
          <w:rFonts w:hint="eastAsia" w:ascii="宋体" w:hAnsi="宋体" w:eastAsia="宋体" w:cs="宋体"/>
          <w:b w:val="0"/>
          <w:bCs w:val="0"/>
          <w:sz w:val="24"/>
          <w:szCs w:val="24"/>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包件二：</w:t>
      </w:r>
    </w:p>
    <w:p>
      <w:pPr>
        <w:pStyle w:val="56"/>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val="en-US" w:eastAsia="zh-CN"/>
        </w:rPr>
        <w:t>心肺功能五项联检测试剂盒</w:t>
      </w:r>
    </w:p>
    <w:p>
      <w:pPr>
        <w:pStyle w:val="56"/>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6"/>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原理：荧光免疫测试法。单个测试试剂可同时检测肌酸激酶同工酶（CK-MB）、肌钙蛋白（cTnI）、肌红蛋白（Myo）、B型钠尿肽（BNP）、D-二聚体（D-Dimer）五种指标的定量结果。</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检测快速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至少</w:t>
      </w:r>
      <w:r>
        <w:rPr>
          <w:rFonts w:hint="eastAsia" w:ascii="宋体" w:hAnsi="宋体" w:eastAsia="宋体" w:cs="宋体"/>
          <w:b w:val="0"/>
          <w:bCs w:val="0"/>
          <w:sz w:val="24"/>
          <w:szCs w:val="24"/>
        </w:rPr>
        <w:t>20分钟内可出具结果；</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灵敏度：肌酸激酶同工酶（CK-MB）最低检测限小于1.0ng/mL。肌红蛋白（Myo）最低检测限小于5ng/mL。肌钙蛋白（cTnl）最低检测限为小于0.05ng/mL。B型钠尿肽（BNP）最低检测限为小于50pg/mL。D-二聚体（D-Dimer）最低检测限为小于100ng/mL。</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具有医疗器械注册许可证。</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★投标人需响应医院SPD项目相关要求,并与上药医疗供应链管理(上海)有限公司签署相关SPD协议</w:t>
      </w:r>
      <w:r>
        <w:rPr>
          <w:rFonts w:hint="eastAsia" w:ascii="宋体" w:hAnsi="宋体" w:eastAsia="宋体" w:cs="宋体"/>
          <w:b w:val="0"/>
          <w:bCs w:val="0"/>
          <w:sz w:val="24"/>
          <w:szCs w:val="24"/>
          <w:lang w:eastAsia="zh-CN"/>
        </w:rPr>
        <w:t>。</w:t>
      </w:r>
    </w:p>
    <w:p>
      <w:pPr>
        <w:numPr>
          <w:ilvl w:val="0"/>
          <w:numId w:val="0"/>
        </w:numPr>
        <w:spacing w:line="360" w:lineRule="auto"/>
        <w:ind w:leftChars="0"/>
        <w:rPr>
          <w:rFonts w:hint="eastAsia" w:ascii="宋体" w:hAnsi="宋体" w:eastAsia="宋体" w:cs="宋体"/>
          <w:b w:val="0"/>
          <w:bCs w:val="0"/>
          <w:sz w:val="24"/>
          <w:szCs w:val="24"/>
        </w:rPr>
      </w:pPr>
      <w:bookmarkStart w:id="18" w:name="_GoBack"/>
      <w:bookmarkEnd w:id="18"/>
    </w:p>
    <w:p>
      <w:pPr>
        <w:numPr>
          <w:ilvl w:val="0"/>
          <w:numId w:val="0"/>
        </w:numPr>
        <w:spacing w:line="360" w:lineRule="auto"/>
        <w:ind w:leftChars="0"/>
        <w:rPr>
          <w:rFonts w:hint="eastAsia" w:ascii="宋体" w:hAnsi="宋体" w:eastAsia="宋体" w:cs="Times New Roman"/>
          <w:b/>
          <w:sz w:val="28"/>
          <w:szCs w:val="20"/>
        </w:rPr>
      </w:pP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包件三：</w:t>
      </w:r>
    </w:p>
    <w:p>
      <w:pPr>
        <w:pStyle w:val="56"/>
        <w:numPr>
          <w:ilvl w:val="0"/>
          <w:numId w:val="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val="en-US" w:eastAsia="zh-CN"/>
        </w:rPr>
        <w:t>：微生物检测相关试剂</w:t>
      </w:r>
    </w:p>
    <w:p>
      <w:pPr>
        <w:pStyle w:val="56"/>
        <w:numPr>
          <w:ilvl w:val="0"/>
          <w:numId w:val="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7"/>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7"/>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8"/>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p>
      <w:pPr>
        <w:pStyle w:val="18"/>
        <w:numPr>
          <w:ilvl w:val="0"/>
          <w:numId w:val="8"/>
        </w:numPr>
        <w:spacing w:line="360" w:lineRule="auto"/>
        <w:ind w:left="425" w:leftChars="0" w:hanging="425" w:firstLineChars="0"/>
        <w:rPr>
          <w:rFonts w:hint="eastAsia" w:ascii="宋体" w:hAnsi="宋体" w:eastAsia="宋体" w:cs="宋体"/>
          <w:b w:val="0"/>
          <w:bCs/>
          <w:szCs w:val="21"/>
          <w:highlight w:val="none"/>
        </w:rPr>
      </w:pPr>
      <w:r>
        <w:rPr>
          <w:rFonts w:hint="eastAsia" w:hAnsi="宋体" w:cs="宋体"/>
          <w:sz w:val="24"/>
          <w:szCs w:val="24"/>
          <w:lang w:val="en-US" w:eastAsia="zh-CN"/>
        </w:rPr>
        <w:t>参数</w:t>
      </w:r>
      <w:r>
        <w:rPr>
          <w:rFonts w:hint="eastAsia" w:hAnsi="宋体" w:cs="宋体"/>
          <w:sz w:val="24"/>
          <w:szCs w:val="24"/>
          <w:highlight w:val="none"/>
          <w:lang w:val="en-US" w:eastAsia="zh-CN"/>
        </w:rPr>
        <w:t>详情</w:t>
      </w:r>
      <w:r>
        <w:rPr>
          <w:rFonts w:hint="eastAsia" w:ascii="宋体" w:hAnsi="宋体" w:eastAsia="宋体" w:cs="宋体"/>
          <w:sz w:val="24"/>
          <w:szCs w:val="24"/>
          <w:highlight w:val="none"/>
          <w:lang w:val="en-US" w:eastAsia="zh-CN"/>
        </w:rPr>
        <w:t>：</w:t>
      </w:r>
    </w:p>
    <w:tbl>
      <w:tblPr>
        <w:tblStyle w:val="32"/>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146"/>
        <w:gridCol w:w="7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626"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46"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7505" w:type="dxa"/>
            <w:vAlign w:val="center"/>
          </w:tcPr>
          <w:p>
            <w:pPr>
              <w:adjustRightInd w:val="0"/>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626"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146" w:type="dxa"/>
            <w:vAlign w:val="center"/>
          </w:tcPr>
          <w:p>
            <w:pPr>
              <w:rPr>
                <w:rFonts w:hint="eastAsia" w:ascii="宋体" w:hAnsi="宋体" w:eastAsia="宋体" w:cs="宋体"/>
                <w:szCs w:val="21"/>
                <w:highlight w:val="none"/>
              </w:rPr>
            </w:pPr>
            <w:r>
              <w:rPr>
                <w:rFonts w:hint="eastAsia" w:ascii="宋体" w:hAnsi="宋体" w:eastAsia="宋体" w:cs="宋体"/>
                <w:b w:val="0"/>
                <w:bCs/>
                <w:szCs w:val="21"/>
                <w:highlight w:val="none"/>
              </w:rPr>
              <w:t>0.5%无菌TTC溶液</w:t>
            </w:r>
          </w:p>
        </w:tc>
        <w:tc>
          <w:tcPr>
            <w:tcW w:w="75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宋体" w:hAnsi="宋体" w:eastAsia="宋体" w:cs="宋体"/>
                <w:b w:val="0"/>
                <w:bCs w:val="0"/>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rPr>
              <w:t>用途:添加于200ml中配成TTC卵磷脂-吐温80营养琼脂。</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2、配方成分：0.5%TTC。</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宋体" w:hAnsi="宋体" w:eastAsia="宋体" w:cs="宋体"/>
                <w:b w:val="0"/>
                <w:bCs w:val="0"/>
              </w:rPr>
            </w:pPr>
            <w:r>
              <w:rPr>
                <w:rFonts w:hint="eastAsia" w:ascii="宋体" w:hAnsi="宋体" w:eastAsia="宋体" w:cs="宋体"/>
                <w:b w:val="0"/>
                <w:bCs w:val="0"/>
                <w:lang w:val="en-US" w:eastAsia="zh-CN"/>
              </w:rPr>
              <w:t>3、</w:t>
            </w:r>
            <w:r>
              <w:rPr>
                <w:rFonts w:hint="eastAsia" w:ascii="宋体" w:hAnsi="宋体" w:eastAsia="宋体" w:cs="宋体"/>
                <w:b w:val="0"/>
                <w:bCs w:val="0"/>
              </w:rPr>
              <w:t>储存条件:2~8℃贮存</w:t>
            </w:r>
          </w:p>
          <w:p>
            <w:pPr>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6"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146"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MUG营养琼脂培养基</w:t>
            </w:r>
          </w:p>
        </w:tc>
        <w:tc>
          <w:tcPr>
            <w:tcW w:w="75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rPr>
              <w:t>用途:用于滤膜法测定生活饮用水及其水源水中的大肠埃希氏菌。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2、配方成分（每升）：蛋白胨含5.0g；牛肉膏粉含3.0g；琼脂含15.0g；MUG含0.1g；最终pH含 6.8±0.2。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3、</w:t>
            </w:r>
            <w:r>
              <w:rPr>
                <w:rFonts w:hint="eastAsia" w:ascii="宋体" w:hAnsi="宋体" w:eastAsia="宋体" w:cs="宋体"/>
                <w:b w:val="0"/>
                <w:bCs w:val="0"/>
              </w:rPr>
              <w:t>储存条件:贮存</w:t>
            </w:r>
            <w:r>
              <w:rPr>
                <w:rFonts w:hint="eastAsia" w:ascii="宋体" w:hAnsi="宋体" w:eastAsia="宋体" w:cs="宋体"/>
                <w:b w:val="0"/>
                <w:bCs w:val="0"/>
                <w:lang w:val="en-US" w:eastAsia="zh-CN"/>
              </w:rPr>
              <w:t>于避光、干燥处。</w:t>
            </w:r>
          </w:p>
          <w:p>
            <w:pPr>
              <w:adjustRightInd w:val="0"/>
              <w:snapToGrid w:val="0"/>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6" w:type="dxa"/>
            <w:vAlign w:val="center"/>
          </w:tcPr>
          <w:p>
            <w:pPr>
              <w:adjustRightInd w:val="0"/>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1146"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lang w:val="en-US" w:eastAsia="zh-CN"/>
              </w:rPr>
              <w:t>革兰氏染色液</w:t>
            </w:r>
          </w:p>
        </w:tc>
        <w:tc>
          <w:tcPr>
            <w:tcW w:w="75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rPr>
            </w:pPr>
            <w:r>
              <w:rPr>
                <w:rFonts w:hint="eastAsia" w:ascii="华文仿宋" w:hAnsi="华文仿宋" w:eastAsia="华文仿宋" w:cs="华文仿宋"/>
                <w:b w:val="0"/>
                <w:bCs w:val="0"/>
                <w:kern w:val="2"/>
                <w:sz w:val="24"/>
                <w:szCs w:val="24"/>
                <w:lang w:val="en-US" w:eastAsia="zh-CN" w:bidi="ar-SA"/>
              </w:rPr>
              <w:t>1</w:t>
            </w:r>
            <w:r>
              <w:rPr>
                <w:rFonts w:hint="eastAsia" w:ascii="宋体" w:hAnsi="宋体" w:eastAsia="宋体" w:cs="宋体"/>
                <w:b w:val="0"/>
                <w:bCs w:val="0"/>
                <w:lang w:val="en-US" w:eastAsia="zh-CN"/>
              </w:rPr>
              <w:t>、</w:t>
            </w:r>
            <w:r>
              <w:rPr>
                <w:rFonts w:hint="eastAsia" w:ascii="宋体" w:hAnsi="宋体" w:eastAsia="宋体" w:cs="宋体"/>
                <w:b w:val="0"/>
                <w:bCs w:val="0"/>
              </w:rPr>
              <w:t>用途:用于细菌革兰氏染色实验。</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2、配方成分（每瓶）：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kern w:val="2"/>
                <w:sz w:val="21"/>
                <w:szCs w:val="24"/>
                <w:lang w:val="en-US" w:eastAsia="zh-CN" w:bidi="ar-SA"/>
              </w:rPr>
              <w:t>a、</w:t>
            </w:r>
            <w:r>
              <w:rPr>
                <w:rFonts w:hint="eastAsia" w:ascii="宋体" w:hAnsi="宋体" w:eastAsia="宋体" w:cs="宋体"/>
                <w:b w:val="0"/>
                <w:bCs w:val="0"/>
                <w:lang w:val="en-US" w:eastAsia="zh-CN"/>
              </w:rPr>
              <w:t>结晶紫染色液：结晶紫0.1g、95%乙醇2ml、1%草酸铵水溶液8ml</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kern w:val="2"/>
                <w:sz w:val="21"/>
                <w:szCs w:val="24"/>
                <w:lang w:val="en-US" w:eastAsia="zh-CN" w:bidi="ar-SA"/>
              </w:rPr>
              <w:t>b、</w:t>
            </w:r>
            <w:r>
              <w:rPr>
                <w:rFonts w:hint="eastAsia" w:ascii="宋体" w:hAnsi="宋体" w:eastAsia="宋体" w:cs="宋体"/>
                <w:b w:val="0"/>
                <w:bCs w:val="0"/>
                <w:lang w:val="en-US" w:eastAsia="zh-CN"/>
              </w:rPr>
              <w:t>革兰氏碘液：碘0.033g、碘化钾0.067g、蒸馏水10ml</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kern w:val="2"/>
                <w:sz w:val="21"/>
                <w:szCs w:val="24"/>
                <w:lang w:val="en-US" w:eastAsia="zh-CN" w:bidi="ar-SA"/>
              </w:rPr>
              <w:t>c、</w:t>
            </w:r>
            <w:r>
              <w:rPr>
                <w:rFonts w:hint="eastAsia" w:ascii="宋体" w:hAnsi="宋体" w:eastAsia="宋体" w:cs="宋体"/>
                <w:b w:val="0"/>
                <w:bCs w:val="0"/>
                <w:lang w:val="en-US" w:eastAsia="zh-CN"/>
              </w:rPr>
              <w:t>脱水酒精：95%乙醇10mL</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kern w:val="2"/>
                <w:sz w:val="21"/>
                <w:szCs w:val="24"/>
                <w:lang w:val="en-US" w:eastAsia="zh-CN" w:bidi="ar-SA"/>
              </w:rPr>
              <w:t>d、</w:t>
            </w:r>
            <w:r>
              <w:rPr>
                <w:rFonts w:hint="eastAsia" w:ascii="宋体" w:hAnsi="宋体" w:eastAsia="宋体" w:cs="宋体"/>
                <w:b w:val="0"/>
                <w:bCs w:val="0"/>
                <w:lang w:val="en-US" w:eastAsia="zh-CN"/>
              </w:rPr>
              <w:t>沙黄复染液：沙黄0.025g、95%乙醇1mL、蒸馏水9mL</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r>
              <w:rPr>
                <w:rFonts w:hint="eastAsia" w:ascii="宋体" w:hAnsi="宋体" w:eastAsia="宋体" w:cs="宋体"/>
                <w:b w:val="0"/>
                <w:bCs w:val="0"/>
              </w:rPr>
              <w:t>储存条件:</w:t>
            </w:r>
            <w:r>
              <w:rPr>
                <w:rFonts w:hint="eastAsia" w:ascii="宋体" w:hAnsi="宋体" w:eastAsia="宋体" w:cs="宋体"/>
                <w:b w:val="0"/>
                <w:bCs w:val="0"/>
                <w:lang w:val="en-US" w:eastAsia="zh-CN"/>
              </w:rPr>
              <w:t>常温避光保存</w:t>
            </w:r>
          </w:p>
          <w:p>
            <w:pPr>
              <w:adjustRightInd w:val="0"/>
              <w:snapToGrid w:val="0"/>
              <w:jc w:val="left"/>
              <w:rPr>
                <w:rFonts w:hint="eastAsia" w:ascii="宋体" w:hAnsi="宋体" w:eastAsia="宋体" w:cs="宋体"/>
                <w:szCs w:val="21"/>
                <w:highlight w:val="none"/>
              </w:rPr>
            </w:pPr>
          </w:p>
        </w:tc>
      </w:tr>
    </w:tbl>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包件四：</w:t>
      </w:r>
    </w:p>
    <w:p>
      <w:pPr>
        <w:pStyle w:val="56"/>
        <w:numPr>
          <w:ilvl w:val="0"/>
          <w:numId w:val="9"/>
        </w:numPr>
        <w:spacing w:line="360" w:lineRule="auto"/>
        <w:ind w:left="-420" w:leftChars="0" w:firstLine="420" w:firstLineChars="0"/>
        <w:rPr>
          <w:rFonts w:hint="eastAsia" w:ascii="宋体" w:hAnsi="宋体" w:eastAsia="宋体"/>
          <w:b w:val="0"/>
          <w:bCs w:val="0"/>
          <w:sz w:val="24"/>
          <w:szCs w:val="24"/>
          <w:highlight w:val="none"/>
          <w:lang w:val="en-US" w:eastAsia="zh-CN"/>
        </w:rPr>
      </w:pPr>
      <w:r>
        <w:rPr>
          <w:rFonts w:hint="eastAsia" w:ascii="宋体" w:hAnsi="宋体" w:eastAsia="宋体" w:cs="Times New Roman"/>
          <w:sz w:val="24"/>
          <w:szCs w:val="24"/>
          <w:highlight w:val="none"/>
          <w:lang w:val="en-US" w:eastAsia="zh-CN"/>
        </w:rPr>
        <w:t>项</w:t>
      </w:r>
      <w:r>
        <w:rPr>
          <w:rFonts w:hint="eastAsia" w:ascii="宋体" w:hAnsi="宋体" w:eastAsia="宋体" w:cs="宋体"/>
          <w:sz w:val="24"/>
          <w:szCs w:val="24"/>
          <w:highlight w:val="none"/>
          <w:lang w:val="en-US" w:eastAsia="zh-CN"/>
        </w:rPr>
        <w:t>目</w:t>
      </w:r>
      <w:r>
        <w:rPr>
          <w:rFonts w:hint="eastAsia" w:ascii="宋体" w:hAnsi="宋体" w:eastAsia="宋体" w:cs="宋体"/>
          <w:b w:val="0"/>
          <w:bCs w:val="0"/>
          <w:sz w:val="24"/>
          <w:szCs w:val="24"/>
          <w:highlight w:val="none"/>
        </w:rPr>
        <w:t>名称</w:t>
      </w:r>
      <w:r>
        <w:rPr>
          <w:rFonts w:hint="eastAsia" w:ascii="宋体" w:hAnsi="宋体" w:eastAsia="宋体"/>
          <w:b w:val="0"/>
          <w:bCs w:val="0"/>
          <w:sz w:val="24"/>
          <w:szCs w:val="24"/>
          <w:highlight w:val="none"/>
          <w:lang w:val="en-US" w:eastAsia="zh-CN"/>
        </w:rPr>
        <w:t>：甘胆酸检测试剂盒</w:t>
      </w:r>
    </w:p>
    <w:p>
      <w:pPr>
        <w:pStyle w:val="56"/>
        <w:numPr>
          <w:ilvl w:val="0"/>
          <w:numId w:val="9"/>
        </w:numPr>
        <w:spacing w:line="360" w:lineRule="auto"/>
        <w:ind w:left="-420" w:leftChars="0" w:firstLine="420" w:firstLineChars="0"/>
        <w:rPr>
          <w:rFonts w:ascii="宋体" w:hAnsi="宋体" w:eastAsia="宋体"/>
          <w:b w:val="0"/>
          <w:bCs w:val="0"/>
          <w:sz w:val="24"/>
          <w:szCs w:val="24"/>
          <w:highlight w:val="none"/>
        </w:rPr>
      </w:pPr>
      <w:r>
        <w:rPr>
          <w:rFonts w:hint="eastAsia" w:ascii="宋体" w:hAnsi="宋体" w:eastAsia="宋体"/>
          <w:b w:val="0"/>
          <w:bCs w:val="0"/>
          <w:sz w:val="24"/>
          <w:szCs w:val="24"/>
          <w:highlight w:val="none"/>
        </w:rPr>
        <w:t>交货时间：</w:t>
      </w:r>
      <w:r>
        <w:rPr>
          <w:rFonts w:hint="eastAsia" w:ascii="宋体" w:hAnsi="宋体" w:eastAsia="宋体"/>
          <w:b w:val="0"/>
          <w:bCs w:val="0"/>
          <w:sz w:val="24"/>
          <w:szCs w:val="24"/>
          <w:highlight w:val="none"/>
          <w:lang w:val="en-US" w:eastAsia="zh-CN"/>
        </w:rPr>
        <w:t>买方指定时间</w:t>
      </w:r>
    </w:p>
    <w:p>
      <w:pPr>
        <w:pStyle w:val="56"/>
        <w:numPr>
          <w:ilvl w:val="0"/>
          <w:numId w:val="9"/>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9"/>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9"/>
        </w:numPr>
        <w:spacing w:line="360" w:lineRule="auto"/>
        <w:ind w:left="-420" w:leftChars="0" w:firstLine="420" w:firstLineChars="0"/>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sz w:val="24"/>
          <w:szCs w:val="24"/>
        </w:rPr>
        <w:t>技术指</w:t>
      </w:r>
      <w:r>
        <w:rPr>
          <w:rFonts w:hint="eastAsia" w:ascii="宋体" w:hAnsi="宋体" w:eastAsia="宋体" w:cs="宋体"/>
          <w:b w:val="0"/>
          <w:bCs w:val="0"/>
          <w:color w:val="auto"/>
          <w:sz w:val="24"/>
          <w:szCs w:val="24"/>
        </w:rPr>
        <w:t>标要求</w:t>
      </w:r>
      <w:r>
        <w:rPr>
          <w:rFonts w:hint="eastAsia" w:ascii="宋体" w:hAnsi="宋体" w:eastAsia="宋体" w:cs="宋体"/>
          <w:b w:val="0"/>
          <w:bCs w:val="0"/>
          <w:color w:val="auto"/>
          <w:sz w:val="24"/>
          <w:szCs w:val="24"/>
          <w:lang w:eastAsia="zh-CN"/>
        </w:rPr>
        <w:t>：</w:t>
      </w:r>
    </w:p>
    <w:p>
      <w:pPr>
        <w:numPr>
          <w:ilvl w:val="0"/>
          <w:numId w:val="1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p>
      <w:pPr>
        <w:numPr>
          <w:ilvl w:val="0"/>
          <w:numId w:val="1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参数详情：</w:t>
      </w:r>
    </w:p>
    <w:tbl>
      <w:tblPr>
        <w:tblStyle w:val="32"/>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843"/>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947" w:type="dxa"/>
            <w:vAlign w:val="center"/>
          </w:tcPr>
          <w:p>
            <w:pPr>
              <w:adjustRightInd w:val="0"/>
              <w:snapToGrid w:val="0"/>
              <w:spacing w:line="360" w:lineRule="auto"/>
              <w:jc w:val="center"/>
              <w:rPr>
                <w:rFonts w:ascii="宋体" w:hAnsi="宋体"/>
                <w:sz w:val="22"/>
                <w:szCs w:val="21"/>
              </w:rPr>
            </w:pPr>
            <w:r>
              <w:rPr>
                <w:rFonts w:hint="eastAsia" w:ascii="宋体" w:hAnsi="宋体"/>
                <w:sz w:val="22"/>
                <w:szCs w:val="21"/>
              </w:rPr>
              <w:t>序号</w:t>
            </w:r>
          </w:p>
        </w:tc>
        <w:tc>
          <w:tcPr>
            <w:tcW w:w="1843" w:type="dxa"/>
            <w:vAlign w:val="center"/>
          </w:tcPr>
          <w:p>
            <w:pPr>
              <w:adjustRightInd w:val="0"/>
              <w:snapToGrid w:val="0"/>
              <w:spacing w:line="360" w:lineRule="auto"/>
              <w:jc w:val="center"/>
              <w:rPr>
                <w:rFonts w:ascii="宋体" w:hAnsi="宋体"/>
                <w:sz w:val="22"/>
                <w:szCs w:val="21"/>
              </w:rPr>
            </w:pPr>
            <w:r>
              <w:rPr>
                <w:rFonts w:hint="eastAsia" w:ascii="宋体" w:hAnsi="宋体"/>
                <w:sz w:val="22"/>
                <w:szCs w:val="21"/>
              </w:rPr>
              <w:t>名称</w:t>
            </w:r>
          </w:p>
        </w:tc>
        <w:tc>
          <w:tcPr>
            <w:tcW w:w="6487" w:type="dxa"/>
            <w:vAlign w:val="center"/>
          </w:tcPr>
          <w:p>
            <w:pPr>
              <w:adjustRightInd w:val="0"/>
              <w:snapToGrid w:val="0"/>
              <w:spacing w:line="360" w:lineRule="auto"/>
              <w:jc w:val="center"/>
              <w:rPr>
                <w:rFonts w:hint="eastAsia" w:ascii="宋体" w:hAnsi="宋体" w:eastAsiaTheme="minorEastAsia"/>
                <w:sz w:val="22"/>
                <w:szCs w:val="21"/>
                <w:lang w:eastAsia="zh-CN"/>
              </w:rPr>
            </w:pPr>
            <w:r>
              <w:rPr>
                <w:rFonts w:hint="eastAsia" w:ascii="宋体" w:hAnsi="宋体"/>
                <w:sz w:val="22"/>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47" w:type="dxa"/>
            <w:vAlign w:val="center"/>
          </w:tcPr>
          <w:p>
            <w:pPr>
              <w:adjustRightInd w:val="0"/>
              <w:snapToGrid w:val="0"/>
              <w:spacing w:line="360" w:lineRule="auto"/>
              <w:jc w:val="center"/>
              <w:rPr>
                <w:rFonts w:hint="eastAsia" w:ascii="宋体" w:hAnsi="宋体"/>
                <w:sz w:val="22"/>
                <w:szCs w:val="21"/>
              </w:rPr>
            </w:pPr>
            <w:r>
              <w:rPr>
                <w:rFonts w:hint="eastAsia" w:ascii="宋体" w:hAnsi="宋体"/>
                <w:sz w:val="22"/>
                <w:szCs w:val="21"/>
              </w:rPr>
              <w:t>1</w:t>
            </w:r>
          </w:p>
        </w:tc>
        <w:tc>
          <w:tcPr>
            <w:tcW w:w="1843" w:type="dxa"/>
            <w:vAlign w:val="center"/>
          </w:tcPr>
          <w:p>
            <w:pPr>
              <w:adjustRightInd w:val="0"/>
              <w:snapToGrid w:val="0"/>
              <w:spacing w:line="360" w:lineRule="auto"/>
              <w:jc w:val="center"/>
              <w:rPr>
                <w:rFonts w:hint="eastAsia" w:ascii="宋体" w:hAnsi="宋体"/>
                <w:sz w:val="22"/>
                <w:szCs w:val="21"/>
              </w:rPr>
            </w:pPr>
            <w:r>
              <w:rPr>
                <w:rFonts w:hint="eastAsia" w:ascii="宋体" w:hAnsi="宋体"/>
                <w:sz w:val="22"/>
                <w:szCs w:val="21"/>
                <w:lang w:val="en-US" w:eastAsia="zh-CN"/>
              </w:rPr>
              <w:t>试剂</w:t>
            </w:r>
            <w:r>
              <w:rPr>
                <w:rFonts w:hint="eastAsia" w:ascii="宋体" w:hAnsi="宋体"/>
                <w:sz w:val="22"/>
                <w:szCs w:val="21"/>
              </w:rPr>
              <w:t>用途</w:t>
            </w:r>
          </w:p>
        </w:tc>
        <w:tc>
          <w:tcPr>
            <w:tcW w:w="6487" w:type="dxa"/>
            <w:vAlign w:val="center"/>
          </w:tcPr>
          <w:p>
            <w:pPr>
              <w:adjustRightInd w:val="0"/>
              <w:snapToGrid w:val="0"/>
              <w:spacing w:line="360" w:lineRule="auto"/>
              <w:jc w:val="left"/>
              <w:rPr>
                <w:rFonts w:hint="eastAsia" w:ascii="宋体" w:hAnsi="宋体"/>
                <w:sz w:val="22"/>
                <w:szCs w:val="21"/>
              </w:rPr>
            </w:pPr>
            <w:r>
              <w:rPr>
                <w:rFonts w:hint="eastAsia" w:ascii="宋体" w:hAnsi="宋体"/>
                <w:sz w:val="22"/>
                <w:szCs w:val="21"/>
              </w:rPr>
              <w:t>用于体外定量检测人血清中甘胆酸的含量，主要用于评价</w:t>
            </w:r>
          </w:p>
          <w:p>
            <w:pPr>
              <w:adjustRightInd w:val="0"/>
              <w:snapToGrid w:val="0"/>
              <w:spacing w:line="360" w:lineRule="auto"/>
              <w:jc w:val="left"/>
              <w:rPr>
                <w:rFonts w:hint="default" w:ascii="宋体" w:hAnsi="宋体"/>
                <w:sz w:val="22"/>
                <w:szCs w:val="21"/>
                <w:lang w:val="en-US"/>
              </w:rPr>
            </w:pPr>
            <w:r>
              <w:rPr>
                <w:rFonts w:hint="eastAsia" w:ascii="宋体" w:hAnsi="宋体"/>
                <w:sz w:val="22"/>
                <w:szCs w:val="21"/>
              </w:rPr>
              <w:t>肝细胞功能及其肝胆系物质循环功能</w:t>
            </w:r>
            <w:r>
              <w:rPr>
                <w:rFonts w:hint="eastAsia" w:ascii="宋体" w:hAnsi="宋体"/>
                <w:sz w:val="22"/>
                <w:szCs w:val="21"/>
                <w:lang w:eastAsia="zh-CN"/>
              </w:rPr>
              <w:t>，</w:t>
            </w:r>
            <w:r>
              <w:rPr>
                <w:rFonts w:hint="eastAsia" w:ascii="宋体" w:hAnsi="宋体"/>
                <w:sz w:val="22"/>
                <w:szCs w:val="21"/>
                <w:lang w:val="en-US" w:eastAsia="zh-CN"/>
              </w:rPr>
              <w:t>用于</w:t>
            </w:r>
            <w:r>
              <w:rPr>
                <w:rFonts w:hint="eastAsia" w:ascii="宋体" w:hAnsi="宋体"/>
                <w:sz w:val="22"/>
                <w:szCs w:val="21"/>
                <w:lang w:eastAsia="zh-CN"/>
              </w:rPr>
              <w:t>检测胆汁郁积和早期酒精肝损伤、孕妇妊娠期肝内胆汁淤积症（ICP）</w:t>
            </w:r>
            <w:r>
              <w:rPr>
                <w:rFonts w:hint="eastAsia" w:ascii="宋体" w:hAnsi="宋体"/>
                <w:sz w:val="22"/>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47" w:type="dxa"/>
            <w:vAlign w:val="center"/>
          </w:tcPr>
          <w:p>
            <w:pPr>
              <w:adjustRightInd w:val="0"/>
              <w:snapToGrid w:val="0"/>
              <w:spacing w:line="360" w:lineRule="auto"/>
              <w:jc w:val="center"/>
              <w:rPr>
                <w:rFonts w:hint="eastAsia" w:ascii="宋体" w:hAnsi="宋体" w:eastAsia="宋体"/>
                <w:sz w:val="22"/>
                <w:szCs w:val="21"/>
                <w:lang w:val="en-US" w:eastAsia="zh-CN"/>
              </w:rPr>
            </w:pPr>
            <w:r>
              <w:rPr>
                <w:rFonts w:hint="eastAsia" w:ascii="宋体" w:hAnsi="宋体"/>
                <w:sz w:val="22"/>
                <w:szCs w:val="21"/>
                <w:lang w:val="en-US" w:eastAsia="zh-CN"/>
              </w:rPr>
              <w:t>2</w:t>
            </w:r>
          </w:p>
        </w:tc>
        <w:tc>
          <w:tcPr>
            <w:tcW w:w="1843" w:type="dxa"/>
            <w:vAlign w:val="center"/>
          </w:tcPr>
          <w:p>
            <w:pPr>
              <w:adjustRightInd w:val="0"/>
              <w:snapToGrid w:val="0"/>
              <w:spacing w:line="360" w:lineRule="auto"/>
              <w:jc w:val="center"/>
              <w:rPr>
                <w:rFonts w:hint="default" w:ascii="宋体" w:hAnsi="宋体"/>
                <w:sz w:val="22"/>
                <w:szCs w:val="21"/>
                <w:lang w:val="en-US" w:eastAsia="zh-CN"/>
              </w:rPr>
            </w:pPr>
            <w:r>
              <w:rPr>
                <w:rFonts w:hint="eastAsia" w:ascii="宋体" w:hAnsi="宋体"/>
                <w:sz w:val="22"/>
                <w:szCs w:val="21"/>
                <w:lang w:val="en-US" w:eastAsia="zh-CN"/>
              </w:rPr>
              <w:t>方法学</w:t>
            </w:r>
          </w:p>
        </w:tc>
        <w:tc>
          <w:tcPr>
            <w:tcW w:w="6487" w:type="dxa"/>
            <w:vAlign w:val="center"/>
          </w:tcPr>
          <w:p>
            <w:pPr>
              <w:adjustRightInd w:val="0"/>
              <w:snapToGrid w:val="0"/>
              <w:spacing w:line="360" w:lineRule="auto"/>
              <w:jc w:val="left"/>
              <w:rPr>
                <w:rFonts w:hint="eastAsia" w:ascii="宋体" w:hAnsi="宋体" w:eastAsia="宋体"/>
                <w:sz w:val="22"/>
                <w:szCs w:val="21"/>
                <w:lang w:eastAsia="zh-CN"/>
              </w:rPr>
            </w:pPr>
            <w:r>
              <w:rPr>
                <w:rFonts w:hint="eastAsia" w:ascii="宋体" w:hAnsi="宋体"/>
                <w:sz w:val="22"/>
                <w:szCs w:val="21"/>
              </w:rPr>
              <w:t>均相酶免疫法</w:t>
            </w:r>
            <w:r>
              <w:rPr>
                <w:rFonts w:hint="eastAsia" w:ascii="宋体" w:hAnsi="宋体"/>
                <w:sz w:val="2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47" w:type="dxa"/>
            <w:vAlign w:val="center"/>
          </w:tcPr>
          <w:p>
            <w:pPr>
              <w:adjustRightInd w:val="0"/>
              <w:snapToGrid w:val="0"/>
              <w:spacing w:line="360" w:lineRule="auto"/>
              <w:jc w:val="center"/>
              <w:rPr>
                <w:rFonts w:hint="default" w:ascii="宋体" w:hAnsi="宋体" w:eastAsia="宋体"/>
                <w:sz w:val="22"/>
                <w:szCs w:val="21"/>
                <w:lang w:val="en-US" w:eastAsia="zh-CN"/>
              </w:rPr>
            </w:pPr>
            <w:r>
              <w:rPr>
                <w:rFonts w:hint="eastAsia" w:ascii="宋体" w:hAnsi="宋体" w:eastAsia="宋体"/>
                <w:sz w:val="22"/>
                <w:szCs w:val="21"/>
                <w:lang w:val="en-US" w:eastAsia="zh-CN"/>
              </w:rPr>
              <w:t>3</w:t>
            </w:r>
          </w:p>
        </w:tc>
        <w:tc>
          <w:tcPr>
            <w:tcW w:w="1843" w:type="dxa"/>
            <w:vAlign w:val="center"/>
          </w:tcPr>
          <w:p>
            <w:pPr>
              <w:adjustRightInd w:val="0"/>
              <w:snapToGrid w:val="0"/>
              <w:spacing w:line="360" w:lineRule="auto"/>
              <w:jc w:val="center"/>
              <w:rPr>
                <w:rFonts w:ascii="宋体" w:hAnsi="宋体"/>
                <w:sz w:val="22"/>
                <w:szCs w:val="21"/>
              </w:rPr>
            </w:pPr>
            <w:r>
              <w:rPr>
                <w:rFonts w:hint="eastAsia" w:ascii="宋体" w:hAnsi="宋体"/>
                <w:sz w:val="22"/>
                <w:szCs w:val="21"/>
              </w:rPr>
              <w:t>有效期</w:t>
            </w:r>
          </w:p>
        </w:tc>
        <w:tc>
          <w:tcPr>
            <w:tcW w:w="6487" w:type="dxa"/>
            <w:vAlign w:val="center"/>
          </w:tcPr>
          <w:p>
            <w:pPr>
              <w:adjustRightInd w:val="0"/>
              <w:snapToGrid w:val="0"/>
              <w:spacing w:line="360" w:lineRule="auto"/>
              <w:jc w:val="left"/>
              <w:rPr>
                <w:rFonts w:ascii="宋体" w:hAnsi="宋体"/>
                <w:sz w:val="22"/>
                <w:szCs w:val="21"/>
              </w:rPr>
            </w:pPr>
            <w:r>
              <w:rPr>
                <w:rFonts w:hint="eastAsia" w:ascii="宋体" w:hAnsi="宋体"/>
                <w:sz w:val="22"/>
                <w:szCs w:val="21"/>
              </w:rPr>
              <w:t>试剂贮存有效期不低于18个月。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947" w:type="dxa"/>
            <w:vAlign w:val="center"/>
          </w:tcPr>
          <w:p>
            <w:pPr>
              <w:adjustRightInd w:val="0"/>
              <w:snapToGrid w:val="0"/>
              <w:spacing w:line="360" w:lineRule="auto"/>
              <w:jc w:val="center"/>
              <w:rPr>
                <w:rFonts w:hint="default" w:ascii="宋体" w:hAnsi="宋体" w:eastAsia="宋体"/>
                <w:sz w:val="22"/>
                <w:szCs w:val="21"/>
                <w:lang w:val="en-US" w:eastAsia="zh-CN"/>
              </w:rPr>
            </w:pPr>
            <w:r>
              <w:rPr>
                <w:rFonts w:hint="eastAsia" w:ascii="宋体" w:hAnsi="宋体" w:eastAsia="宋体"/>
                <w:sz w:val="22"/>
                <w:szCs w:val="21"/>
                <w:lang w:val="en-US" w:eastAsia="zh-CN"/>
              </w:rPr>
              <w:t>4</w:t>
            </w:r>
          </w:p>
        </w:tc>
        <w:tc>
          <w:tcPr>
            <w:tcW w:w="1843" w:type="dxa"/>
            <w:vAlign w:val="center"/>
          </w:tcPr>
          <w:p>
            <w:pPr>
              <w:adjustRightInd w:val="0"/>
              <w:snapToGrid w:val="0"/>
              <w:spacing w:line="360" w:lineRule="auto"/>
              <w:jc w:val="center"/>
              <w:rPr>
                <w:rFonts w:ascii="宋体" w:hAnsi="宋体"/>
                <w:sz w:val="22"/>
                <w:szCs w:val="21"/>
              </w:rPr>
            </w:pPr>
            <w:r>
              <w:rPr>
                <w:rFonts w:hint="eastAsia" w:ascii="宋体" w:hAnsi="宋体"/>
                <w:sz w:val="22"/>
                <w:szCs w:val="21"/>
              </w:rPr>
              <w:t>样本类型</w:t>
            </w:r>
          </w:p>
        </w:tc>
        <w:tc>
          <w:tcPr>
            <w:tcW w:w="6487" w:type="dxa"/>
            <w:vAlign w:val="center"/>
          </w:tcPr>
          <w:p>
            <w:pPr>
              <w:adjustRightInd w:val="0"/>
              <w:snapToGrid w:val="0"/>
              <w:spacing w:line="360" w:lineRule="auto"/>
              <w:jc w:val="left"/>
              <w:rPr>
                <w:rFonts w:hint="eastAsia" w:ascii="宋体" w:hAnsi="宋体" w:eastAsia="宋体"/>
                <w:sz w:val="22"/>
                <w:szCs w:val="21"/>
                <w:lang w:eastAsia="zh-CN"/>
              </w:rPr>
            </w:pPr>
            <w:r>
              <w:rPr>
                <w:rFonts w:hint="eastAsia" w:ascii="宋体" w:hAnsi="宋体"/>
                <w:sz w:val="22"/>
                <w:szCs w:val="21"/>
              </w:rPr>
              <w:t>样本为新鲜血清</w:t>
            </w:r>
            <w:r>
              <w:rPr>
                <w:rFonts w:hint="eastAsia" w:ascii="宋体" w:hAnsi="宋体"/>
                <w:sz w:val="2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947" w:type="dxa"/>
            <w:vAlign w:val="center"/>
          </w:tcPr>
          <w:p>
            <w:pPr>
              <w:adjustRightInd w:val="0"/>
              <w:snapToGrid w:val="0"/>
              <w:spacing w:line="360" w:lineRule="auto"/>
              <w:jc w:val="center"/>
              <w:rPr>
                <w:rFonts w:hint="default" w:ascii="宋体" w:hAnsi="宋体" w:eastAsia="宋体"/>
                <w:sz w:val="22"/>
                <w:szCs w:val="21"/>
                <w:lang w:val="en-US" w:eastAsia="zh-CN"/>
              </w:rPr>
            </w:pPr>
            <w:r>
              <w:rPr>
                <w:rFonts w:hint="eastAsia" w:ascii="宋体" w:hAnsi="宋体" w:eastAsia="宋体"/>
                <w:sz w:val="22"/>
                <w:szCs w:val="21"/>
                <w:lang w:val="en-US" w:eastAsia="zh-CN"/>
              </w:rPr>
              <w:t>5</w:t>
            </w:r>
          </w:p>
        </w:tc>
        <w:tc>
          <w:tcPr>
            <w:tcW w:w="1843" w:type="dxa"/>
            <w:vAlign w:val="center"/>
          </w:tcPr>
          <w:p>
            <w:pPr>
              <w:adjustRightInd w:val="0"/>
              <w:snapToGrid w:val="0"/>
              <w:spacing w:line="360" w:lineRule="auto"/>
              <w:jc w:val="center"/>
              <w:rPr>
                <w:rFonts w:ascii="宋体" w:hAnsi="宋体"/>
                <w:sz w:val="22"/>
                <w:szCs w:val="21"/>
              </w:rPr>
            </w:pPr>
            <w:r>
              <w:rPr>
                <w:rFonts w:hint="eastAsia" w:ascii="宋体" w:hAnsi="宋体"/>
                <w:sz w:val="22"/>
                <w:szCs w:val="21"/>
              </w:rPr>
              <w:t>分析灵敏度</w:t>
            </w:r>
          </w:p>
        </w:tc>
        <w:tc>
          <w:tcPr>
            <w:tcW w:w="6487" w:type="dxa"/>
            <w:vAlign w:val="center"/>
          </w:tcPr>
          <w:p>
            <w:pPr>
              <w:adjustRightInd w:val="0"/>
              <w:snapToGrid w:val="0"/>
              <w:spacing w:line="360" w:lineRule="auto"/>
              <w:jc w:val="left"/>
              <w:rPr>
                <w:rFonts w:hint="eastAsia" w:ascii="宋体" w:hAnsi="宋体"/>
                <w:sz w:val="22"/>
                <w:szCs w:val="21"/>
              </w:rPr>
            </w:pPr>
            <w:r>
              <w:rPr>
                <w:rFonts w:hint="eastAsia" w:ascii="宋体" w:hAnsi="宋体"/>
                <w:sz w:val="22"/>
                <w:szCs w:val="21"/>
              </w:rPr>
              <w:t>测定浓度为 10.00 µg/mL 的甘胆酸样本时，分析灵敏</w:t>
            </w:r>
          </w:p>
          <w:p>
            <w:pPr>
              <w:adjustRightInd w:val="0"/>
              <w:snapToGrid w:val="0"/>
              <w:spacing w:line="360" w:lineRule="auto"/>
              <w:jc w:val="left"/>
              <w:rPr>
                <w:rFonts w:hint="eastAsia" w:ascii="宋体" w:hAnsi="宋体" w:eastAsia="宋体"/>
                <w:sz w:val="22"/>
                <w:szCs w:val="21"/>
                <w:lang w:eastAsia="zh-CN"/>
              </w:rPr>
            </w:pPr>
            <w:r>
              <w:rPr>
                <w:rFonts w:hint="eastAsia" w:ascii="宋体" w:hAnsi="宋体"/>
                <w:sz w:val="22"/>
                <w:szCs w:val="21"/>
              </w:rPr>
              <w:t>度≥0.002</w:t>
            </w:r>
            <w:r>
              <w:rPr>
                <w:rFonts w:hint="eastAsia" w:ascii="宋体" w:hAnsi="宋体"/>
                <w:sz w:val="2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947" w:type="dxa"/>
            <w:vAlign w:val="center"/>
          </w:tcPr>
          <w:p>
            <w:pPr>
              <w:adjustRightInd w:val="0"/>
              <w:snapToGrid w:val="0"/>
              <w:spacing w:line="360" w:lineRule="auto"/>
              <w:jc w:val="center"/>
              <w:rPr>
                <w:rFonts w:hint="default" w:ascii="宋体" w:hAnsi="宋体" w:eastAsia="宋体"/>
                <w:sz w:val="22"/>
                <w:szCs w:val="21"/>
                <w:lang w:val="en-US" w:eastAsia="zh-CN"/>
              </w:rPr>
            </w:pPr>
            <w:r>
              <w:rPr>
                <w:rFonts w:hint="eastAsia" w:ascii="宋体" w:hAnsi="宋体" w:eastAsia="宋体"/>
                <w:sz w:val="22"/>
                <w:szCs w:val="21"/>
                <w:lang w:val="en-US" w:eastAsia="zh-CN"/>
              </w:rPr>
              <w:t>6</w:t>
            </w:r>
          </w:p>
        </w:tc>
        <w:tc>
          <w:tcPr>
            <w:tcW w:w="1843" w:type="dxa"/>
            <w:vAlign w:val="center"/>
          </w:tcPr>
          <w:p>
            <w:pPr>
              <w:adjustRightInd w:val="0"/>
              <w:snapToGrid w:val="0"/>
              <w:spacing w:line="360" w:lineRule="auto"/>
              <w:jc w:val="center"/>
              <w:rPr>
                <w:rFonts w:ascii="宋体" w:hAnsi="宋体"/>
                <w:sz w:val="22"/>
                <w:szCs w:val="21"/>
              </w:rPr>
            </w:pPr>
            <w:r>
              <w:rPr>
                <w:rFonts w:hint="eastAsia" w:ascii="宋体" w:hAnsi="宋体"/>
                <w:sz w:val="22"/>
                <w:szCs w:val="21"/>
              </w:rPr>
              <w:t>准确度要求</w:t>
            </w:r>
          </w:p>
        </w:tc>
        <w:tc>
          <w:tcPr>
            <w:tcW w:w="6487" w:type="dxa"/>
            <w:vAlign w:val="center"/>
          </w:tcPr>
          <w:p>
            <w:pPr>
              <w:adjustRightInd w:val="0"/>
              <w:snapToGrid w:val="0"/>
              <w:spacing w:line="360" w:lineRule="auto"/>
              <w:jc w:val="left"/>
              <w:rPr>
                <w:rFonts w:hint="eastAsia" w:ascii="宋体" w:hAnsi="宋体" w:eastAsia="宋体"/>
                <w:sz w:val="22"/>
                <w:szCs w:val="21"/>
                <w:lang w:eastAsia="zh-CN"/>
              </w:rPr>
            </w:pPr>
            <w:r>
              <w:rPr>
                <w:rFonts w:hint="eastAsia" w:ascii="宋体" w:hAnsi="宋体"/>
                <w:sz w:val="22"/>
                <w:szCs w:val="21"/>
              </w:rPr>
              <w:t>偏差B≤5.0%（须提供型式检测报告结果证明）</w:t>
            </w:r>
            <w:r>
              <w:rPr>
                <w:rFonts w:hint="eastAsia" w:ascii="宋体" w:hAnsi="宋体"/>
                <w:sz w:val="2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47" w:type="dxa"/>
            <w:vAlign w:val="center"/>
          </w:tcPr>
          <w:p>
            <w:pPr>
              <w:adjustRightInd w:val="0"/>
              <w:snapToGrid w:val="0"/>
              <w:spacing w:line="360" w:lineRule="auto"/>
              <w:jc w:val="center"/>
              <w:rPr>
                <w:rFonts w:hint="default" w:ascii="宋体" w:hAnsi="宋体" w:eastAsia="宋体"/>
                <w:sz w:val="22"/>
                <w:szCs w:val="21"/>
                <w:lang w:val="en-US" w:eastAsia="zh-CN"/>
              </w:rPr>
            </w:pPr>
            <w:r>
              <w:rPr>
                <w:rFonts w:hint="eastAsia" w:ascii="宋体" w:hAnsi="宋体" w:eastAsia="宋体"/>
                <w:sz w:val="22"/>
                <w:szCs w:val="21"/>
                <w:lang w:val="en-US" w:eastAsia="zh-CN"/>
              </w:rPr>
              <w:t>7</w:t>
            </w:r>
          </w:p>
        </w:tc>
        <w:tc>
          <w:tcPr>
            <w:tcW w:w="1843" w:type="dxa"/>
            <w:vAlign w:val="center"/>
          </w:tcPr>
          <w:p>
            <w:pPr>
              <w:adjustRightInd w:val="0"/>
              <w:snapToGrid w:val="0"/>
              <w:spacing w:line="360" w:lineRule="auto"/>
              <w:jc w:val="center"/>
              <w:rPr>
                <w:rFonts w:ascii="宋体" w:hAnsi="宋体"/>
                <w:sz w:val="22"/>
                <w:szCs w:val="21"/>
              </w:rPr>
            </w:pPr>
            <w:r>
              <w:rPr>
                <w:rFonts w:hint="eastAsia" w:ascii="宋体" w:hAnsi="宋体"/>
                <w:sz w:val="22"/>
                <w:szCs w:val="21"/>
              </w:rPr>
              <w:t>精密度要求</w:t>
            </w:r>
          </w:p>
        </w:tc>
        <w:tc>
          <w:tcPr>
            <w:tcW w:w="6487" w:type="dxa"/>
            <w:vAlign w:val="center"/>
          </w:tcPr>
          <w:p>
            <w:pPr>
              <w:adjustRightInd w:val="0"/>
              <w:snapToGrid w:val="0"/>
              <w:spacing w:line="360" w:lineRule="auto"/>
              <w:jc w:val="left"/>
              <w:rPr>
                <w:rFonts w:hint="eastAsia" w:ascii="宋体" w:hAnsi="宋体" w:eastAsia="宋体"/>
                <w:sz w:val="22"/>
                <w:szCs w:val="21"/>
                <w:lang w:eastAsia="zh-CN"/>
              </w:rPr>
            </w:pPr>
            <w:r>
              <w:rPr>
                <w:rFonts w:hint="eastAsia" w:ascii="宋体" w:hAnsi="宋体"/>
                <w:sz w:val="22"/>
                <w:szCs w:val="21"/>
              </w:rPr>
              <w:t>批内CV≤5%，批间相对偏差R≤5%（须提供检测所盖章型式检测报告结果证明）</w:t>
            </w:r>
            <w:r>
              <w:rPr>
                <w:rFonts w:hint="eastAsia" w:ascii="宋体" w:hAnsi="宋体"/>
                <w:sz w:val="2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947" w:type="dxa"/>
            <w:vAlign w:val="center"/>
          </w:tcPr>
          <w:p>
            <w:pPr>
              <w:adjustRightInd w:val="0"/>
              <w:snapToGrid w:val="0"/>
              <w:spacing w:line="360" w:lineRule="auto"/>
              <w:jc w:val="center"/>
              <w:rPr>
                <w:rFonts w:hint="default" w:ascii="宋体" w:hAnsi="宋体" w:eastAsia="宋体"/>
                <w:sz w:val="22"/>
                <w:szCs w:val="21"/>
                <w:lang w:val="en-US" w:eastAsia="zh-CN"/>
              </w:rPr>
            </w:pPr>
            <w:r>
              <w:rPr>
                <w:rFonts w:hint="eastAsia" w:ascii="宋体" w:hAnsi="宋体" w:eastAsia="宋体"/>
                <w:sz w:val="22"/>
                <w:szCs w:val="21"/>
                <w:lang w:val="en-US" w:eastAsia="zh-CN"/>
              </w:rPr>
              <w:t>8</w:t>
            </w:r>
          </w:p>
        </w:tc>
        <w:tc>
          <w:tcPr>
            <w:tcW w:w="1843" w:type="dxa"/>
            <w:vAlign w:val="center"/>
          </w:tcPr>
          <w:p>
            <w:pPr>
              <w:adjustRightInd w:val="0"/>
              <w:snapToGrid w:val="0"/>
              <w:spacing w:line="360" w:lineRule="auto"/>
              <w:jc w:val="center"/>
              <w:rPr>
                <w:rFonts w:ascii="宋体" w:hAnsi="宋体"/>
                <w:sz w:val="22"/>
                <w:szCs w:val="21"/>
              </w:rPr>
            </w:pPr>
            <w:r>
              <w:rPr>
                <w:rFonts w:hint="eastAsia" w:ascii="宋体" w:hAnsi="宋体"/>
                <w:sz w:val="22"/>
                <w:szCs w:val="21"/>
              </w:rPr>
              <w:t>校准品要求</w:t>
            </w:r>
          </w:p>
        </w:tc>
        <w:tc>
          <w:tcPr>
            <w:tcW w:w="6487" w:type="dxa"/>
            <w:vAlign w:val="center"/>
          </w:tcPr>
          <w:p>
            <w:pPr>
              <w:adjustRightInd w:val="0"/>
              <w:snapToGrid w:val="0"/>
              <w:spacing w:line="360" w:lineRule="auto"/>
              <w:jc w:val="left"/>
              <w:rPr>
                <w:rFonts w:hint="eastAsia" w:ascii="宋体" w:hAnsi="宋体" w:eastAsia="宋体"/>
                <w:sz w:val="22"/>
                <w:szCs w:val="21"/>
                <w:lang w:eastAsia="zh-CN"/>
              </w:rPr>
            </w:pPr>
            <w:r>
              <w:rPr>
                <w:rFonts w:hint="eastAsia" w:ascii="宋体" w:hAnsi="宋体"/>
                <w:sz w:val="22"/>
                <w:szCs w:val="21"/>
              </w:rPr>
              <w:t>准确度 B≤7.0%；瓶间均一性 CV≤5.0%。（须提供检测所盖章型式检测报告结果证明）</w:t>
            </w:r>
            <w:r>
              <w:rPr>
                <w:rFonts w:hint="eastAsia" w:ascii="宋体" w:hAnsi="宋体"/>
                <w:sz w:val="2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947" w:type="dxa"/>
            <w:vAlign w:val="center"/>
          </w:tcPr>
          <w:p>
            <w:pPr>
              <w:adjustRightInd w:val="0"/>
              <w:snapToGrid w:val="0"/>
              <w:spacing w:line="360" w:lineRule="auto"/>
              <w:jc w:val="center"/>
              <w:rPr>
                <w:rFonts w:hint="default" w:ascii="宋体" w:hAnsi="宋体" w:eastAsia="宋体"/>
                <w:sz w:val="22"/>
                <w:szCs w:val="21"/>
                <w:lang w:val="en-US" w:eastAsia="zh-CN"/>
              </w:rPr>
            </w:pPr>
            <w:r>
              <w:rPr>
                <w:rFonts w:hint="eastAsia" w:ascii="宋体" w:hAnsi="宋体" w:eastAsia="宋体"/>
                <w:sz w:val="22"/>
                <w:szCs w:val="21"/>
                <w:lang w:val="en-US" w:eastAsia="zh-CN"/>
              </w:rPr>
              <w:t>9</w:t>
            </w:r>
          </w:p>
        </w:tc>
        <w:tc>
          <w:tcPr>
            <w:tcW w:w="1843" w:type="dxa"/>
            <w:vAlign w:val="center"/>
          </w:tcPr>
          <w:p>
            <w:pPr>
              <w:adjustRightInd w:val="0"/>
              <w:snapToGrid w:val="0"/>
              <w:spacing w:line="360" w:lineRule="auto"/>
              <w:jc w:val="center"/>
              <w:rPr>
                <w:rFonts w:ascii="宋体" w:hAnsi="宋体"/>
                <w:sz w:val="22"/>
                <w:szCs w:val="21"/>
              </w:rPr>
            </w:pPr>
            <w:r>
              <w:rPr>
                <w:rFonts w:hint="eastAsia" w:ascii="宋体" w:hAnsi="宋体"/>
                <w:sz w:val="22"/>
                <w:szCs w:val="21"/>
              </w:rPr>
              <w:t>质控品要求</w:t>
            </w:r>
          </w:p>
        </w:tc>
        <w:tc>
          <w:tcPr>
            <w:tcW w:w="6487" w:type="dxa"/>
            <w:vAlign w:val="center"/>
          </w:tcPr>
          <w:p>
            <w:pPr>
              <w:adjustRightInd w:val="0"/>
              <w:snapToGrid w:val="0"/>
              <w:spacing w:line="360" w:lineRule="auto"/>
              <w:jc w:val="left"/>
              <w:rPr>
                <w:rFonts w:hint="eastAsia" w:ascii="宋体" w:hAnsi="宋体" w:eastAsia="宋体"/>
                <w:sz w:val="22"/>
                <w:szCs w:val="21"/>
                <w:lang w:eastAsia="zh-CN"/>
              </w:rPr>
            </w:pPr>
            <w:r>
              <w:rPr>
                <w:rFonts w:hint="eastAsia" w:ascii="宋体" w:hAnsi="宋体"/>
                <w:sz w:val="22"/>
                <w:szCs w:val="21"/>
              </w:rPr>
              <w:t>准确度 B≤7.0%；瓶间均一性 CV≤5.0%。（须提供检测所盖章型式检测报告结果证明）</w:t>
            </w:r>
            <w:r>
              <w:rPr>
                <w:rFonts w:hint="eastAsia" w:ascii="宋体" w:hAnsi="宋体"/>
                <w:sz w:val="2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jc w:val="center"/>
        </w:trPr>
        <w:tc>
          <w:tcPr>
            <w:tcW w:w="947" w:type="dxa"/>
            <w:vAlign w:val="center"/>
          </w:tcPr>
          <w:p>
            <w:pPr>
              <w:adjustRightInd w:val="0"/>
              <w:snapToGrid w:val="0"/>
              <w:spacing w:line="360" w:lineRule="auto"/>
              <w:jc w:val="center"/>
              <w:rPr>
                <w:rFonts w:hint="default" w:ascii="宋体" w:hAnsi="宋体" w:eastAsia="宋体"/>
                <w:sz w:val="22"/>
                <w:szCs w:val="21"/>
                <w:lang w:val="en-US" w:eastAsia="zh-CN"/>
              </w:rPr>
            </w:pPr>
            <w:r>
              <w:rPr>
                <w:rFonts w:hint="eastAsia" w:ascii="宋体" w:hAnsi="宋体" w:eastAsia="宋体"/>
                <w:sz w:val="22"/>
                <w:szCs w:val="21"/>
                <w:lang w:val="en-US" w:eastAsia="zh-CN"/>
              </w:rPr>
              <w:t>10</w:t>
            </w:r>
          </w:p>
        </w:tc>
        <w:tc>
          <w:tcPr>
            <w:tcW w:w="1843" w:type="dxa"/>
            <w:vAlign w:val="center"/>
          </w:tcPr>
          <w:p>
            <w:pPr>
              <w:adjustRightInd w:val="0"/>
              <w:snapToGrid w:val="0"/>
              <w:spacing w:line="360" w:lineRule="auto"/>
              <w:jc w:val="center"/>
              <w:rPr>
                <w:rFonts w:ascii="宋体" w:hAnsi="宋体"/>
                <w:sz w:val="22"/>
                <w:szCs w:val="21"/>
              </w:rPr>
            </w:pPr>
            <w:r>
              <w:rPr>
                <w:rFonts w:hint="eastAsia" w:ascii="宋体" w:hAnsi="宋体"/>
                <w:sz w:val="22"/>
                <w:szCs w:val="21"/>
              </w:rPr>
              <w:t>抗干扰能力</w:t>
            </w:r>
          </w:p>
        </w:tc>
        <w:tc>
          <w:tcPr>
            <w:tcW w:w="6487" w:type="dxa"/>
            <w:vAlign w:val="center"/>
          </w:tcPr>
          <w:p>
            <w:pPr>
              <w:adjustRightInd w:val="0"/>
              <w:snapToGrid w:val="0"/>
              <w:spacing w:line="360" w:lineRule="auto"/>
              <w:jc w:val="left"/>
              <w:rPr>
                <w:rFonts w:hint="eastAsia" w:ascii="宋体" w:hAnsi="宋体" w:eastAsia="宋体"/>
                <w:sz w:val="22"/>
                <w:szCs w:val="21"/>
                <w:lang w:eastAsia="zh-CN"/>
              </w:rPr>
            </w:pPr>
            <w:r>
              <w:rPr>
                <w:rFonts w:hint="eastAsia" w:ascii="宋体" w:hAnsi="宋体"/>
                <w:sz w:val="22"/>
                <w:szCs w:val="21"/>
              </w:rPr>
              <w:t>对检测结果无影响：胆红素≤855 µmol/L，血红蛋白≤0.5 g/L，维生素 C≤6 mmol/L。特异性好，与体内外常见物质和药物均无交叉反应</w:t>
            </w:r>
            <w:r>
              <w:rPr>
                <w:rFonts w:hint="eastAsia" w:ascii="宋体" w:hAnsi="宋体"/>
                <w:sz w:val="22"/>
                <w:szCs w:val="21"/>
                <w:lang w:eastAsia="zh-CN"/>
              </w:rPr>
              <w:t>。</w:t>
            </w:r>
          </w:p>
        </w:tc>
      </w:tr>
    </w:tbl>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包件五：</w:t>
      </w:r>
    </w:p>
    <w:p>
      <w:pPr>
        <w:pStyle w:val="56"/>
        <w:numPr>
          <w:ilvl w:val="0"/>
          <w:numId w:val="11"/>
        </w:numPr>
        <w:spacing w:line="360" w:lineRule="auto"/>
        <w:ind w:left="-420" w:leftChars="0" w:firstLine="420" w:firstLineChars="0"/>
        <w:rPr>
          <w:rFonts w:hint="eastAsia" w:ascii="宋体" w:hAnsi="宋体" w:eastAsia="宋体"/>
          <w:b w:val="0"/>
          <w:bCs w:val="0"/>
          <w:sz w:val="24"/>
          <w:szCs w:val="24"/>
          <w:lang w:val="en-US" w:eastAsia="zh-CN"/>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b w:val="0"/>
          <w:bCs w:val="0"/>
          <w:sz w:val="24"/>
          <w:szCs w:val="24"/>
          <w:lang w:val="en-US" w:eastAsia="zh-CN"/>
        </w:rPr>
        <w:t>：呼吸道三项抗原检测</w:t>
      </w:r>
    </w:p>
    <w:p>
      <w:pPr>
        <w:pStyle w:val="56"/>
        <w:numPr>
          <w:ilvl w:val="0"/>
          <w:numId w:val="1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1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11"/>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11"/>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p>
      <w:pPr>
        <w:numPr>
          <w:ilvl w:val="0"/>
          <w:numId w:val="12"/>
        </w:numPr>
        <w:spacing w:line="360" w:lineRule="auto"/>
        <w:ind w:leftChars="0"/>
        <w:rPr>
          <w:rFonts w:hint="eastAsia" w:ascii="宋体" w:hAnsi="宋体" w:eastAsia="宋体" w:cs="宋体"/>
          <w:sz w:val="24"/>
          <w:szCs w:val="24"/>
          <w:lang w:val="en-US" w:eastAsia="zh-CN"/>
        </w:rPr>
      </w:pPr>
      <w:r>
        <w:rPr>
          <w:rFonts w:hint="eastAsia"/>
        </w:rPr>
        <w:t>呼吸道合胞病毒抗原检测试剂盒</w:t>
      </w:r>
    </w:p>
    <w:tbl>
      <w:tblPr>
        <w:tblStyle w:val="32"/>
        <w:tblW w:w="9381" w:type="dxa"/>
        <w:jc w:val="center"/>
        <w:tblInd w:w="0" w:type="dxa"/>
        <w:tblLayout w:type="fixed"/>
        <w:tblCellMar>
          <w:top w:w="0" w:type="dxa"/>
          <w:left w:w="108" w:type="dxa"/>
          <w:bottom w:w="0" w:type="dxa"/>
          <w:right w:w="108" w:type="dxa"/>
        </w:tblCellMar>
      </w:tblPr>
      <w:tblGrid>
        <w:gridCol w:w="839"/>
        <w:gridCol w:w="2447"/>
        <w:gridCol w:w="6095"/>
      </w:tblGrid>
      <w:tr>
        <w:tblPrEx>
          <w:tblLayout w:type="fixed"/>
          <w:tblCellMar>
            <w:top w:w="0" w:type="dxa"/>
            <w:left w:w="108" w:type="dxa"/>
            <w:bottom w:w="0" w:type="dxa"/>
            <w:right w:w="108" w:type="dxa"/>
          </w:tblCellMar>
        </w:tblPrEx>
        <w:trPr>
          <w:trHeight w:val="63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2447" w:type="dxa"/>
            <w:tcBorders>
              <w:top w:val="single" w:color="auto" w:sz="4" w:space="0"/>
              <w:left w:val="nil"/>
              <w:bottom w:val="single" w:color="auto" w:sz="4" w:space="0"/>
              <w:right w:val="single" w:color="auto" w:sz="4" w:space="0"/>
            </w:tcBorders>
            <w:vAlign w:val="center"/>
          </w:tcPr>
          <w:p>
            <w:pPr>
              <w:widowControl/>
              <w:ind w:firstLine="210" w:firstLineChars="10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名称</w:t>
            </w:r>
          </w:p>
        </w:tc>
        <w:tc>
          <w:tcPr>
            <w:tcW w:w="6095" w:type="dxa"/>
            <w:tcBorders>
              <w:top w:val="single" w:color="auto" w:sz="4" w:space="0"/>
              <w:left w:val="nil"/>
              <w:bottom w:val="single" w:color="auto" w:sz="4" w:space="0"/>
              <w:right w:val="single" w:color="auto" w:sz="4" w:space="0"/>
            </w:tcBorders>
            <w:vAlign w:val="center"/>
          </w:tcPr>
          <w:p>
            <w:pPr>
              <w:widowControl/>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参数</w:t>
            </w:r>
          </w:p>
        </w:tc>
      </w:tr>
      <w:tr>
        <w:tblPrEx>
          <w:tblLayout w:type="fixed"/>
          <w:tblCellMar>
            <w:top w:w="0" w:type="dxa"/>
            <w:left w:w="108" w:type="dxa"/>
            <w:bottom w:w="0" w:type="dxa"/>
            <w:right w:w="108" w:type="dxa"/>
          </w:tblCellMar>
        </w:tblPrEx>
        <w:trPr>
          <w:trHeight w:val="630"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2447" w:type="dxa"/>
            <w:tcBorders>
              <w:top w:val="nil"/>
              <w:left w:val="nil"/>
              <w:bottom w:val="single" w:color="auto" w:sz="4" w:space="0"/>
              <w:right w:val="single" w:color="auto" w:sz="4" w:space="0"/>
            </w:tcBorders>
            <w:noWrap/>
            <w:vAlign w:val="center"/>
          </w:tcPr>
          <w:p>
            <w:pPr>
              <w:widowControl/>
              <w:jc w:val="center"/>
              <w:rPr>
                <w:color w:val="000000" w:themeColor="text1"/>
                <w:sz w:val="21"/>
                <w:szCs w:val="21"/>
                <w14:textFill>
                  <w14:solidFill>
                    <w14:schemeClr w14:val="tx1"/>
                  </w14:solidFill>
                </w14:textFill>
              </w:rPr>
            </w:pPr>
            <w:r>
              <w:rPr>
                <w:rFonts w:hint="eastAsia" w:ascii="宋体" w:cs="宋体"/>
                <w:sz w:val="21"/>
                <w:szCs w:val="21"/>
              </w:rPr>
              <w:t>有效期及储存条件</w:t>
            </w:r>
          </w:p>
        </w:tc>
        <w:tc>
          <w:tcPr>
            <w:tcW w:w="6095" w:type="dxa"/>
            <w:tcBorders>
              <w:top w:val="nil"/>
              <w:left w:val="nil"/>
              <w:bottom w:val="single" w:color="auto" w:sz="4" w:space="0"/>
              <w:right w:val="single" w:color="auto" w:sz="4" w:space="0"/>
            </w:tcBorders>
            <w:noWrap/>
            <w:vAlign w:val="center"/>
          </w:tcPr>
          <w:p>
            <w:pPr>
              <w:widowControl/>
              <w:rPr>
                <w:color w:val="000000" w:themeColor="text1"/>
                <w:sz w:val="21"/>
                <w:szCs w:val="21"/>
                <w14:textFill>
                  <w14:solidFill>
                    <w14:schemeClr w14:val="tx1"/>
                  </w14:solidFill>
                </w14:textFill>
              </w:rPr>
            </w:pPr>
            <w:r>
              <w:rPr>
                <w:rFonts w:hint="eastAsia" w:ascii="宋体" w:cs="宋体"/>
                <w:sz w:val="21"/>
                <w:szCs w:val="21"/>
                <w:lang w:val="en-US" w:eastAsia="zh-CN"/>
              </w:rPr>
              <w:t>≥</w:t>
            </w:r>
            <w:r>
              <w:rPr>
                <w:rFonts w:ascii="宋体" w:cs="宋体"/>
                <w:sz w:val="21"/>
                <w:szCs w:val="21"/>
              </w:rPr>
              <w:t>18</w:t>
            </w:r>
            <w:r>
              <w:rPr>
                <w:rFonts w:hint="eastAsia" w:ascii="宋体" w:cs="宋体"/>
                <w:sz w:val="21"/>
                <w:szCs w:val="21"/>
              </w:rPr>
              <w:t>个月</w:t>
            </w:r>
          </w:p>
        </w:tc>
      </w:tr>
      <w:tr>
        <w:tblPrEx>
          <w:tblLayout w:type="fixed"/>
          <w:tblCellMar>
            <w:top w:w="0" w:type="dxa"/>
            <w:left w:w="108" w:type="dxa"/>
            <w:bottom w:w="0" w:type="dxa"/>
            <w:right w:w="108" w:type="dxa"/>
          </w:tblCellMar>
        </w:tblPrEx>
        <w:trPr>
          <w:trHeight w:val="630"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2447"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hAnsi="宋体" w:cs="宋体"/>
                <w:sz w:val="21"/>
                <w:szCs w:val="21"/>
              </w:rPr>
              <w:t>最低检出限</w:t>
            </w:r>
          </w:p>
        </w:tc>
        <w:tc>
          <w:tcPr>
            <w:tcW w:w="6095" w:type="dxa"/>
            <w:tcBorders>
              <w:top w:val="nil"/>
              <w:left w:val="nil"/>
              <w:bottom w:val="single" w:color="auto" w:sz="4" w:space="0"/>
              <w:right w:val="single" w:color="auto" w:sz="4" w:space="0"/>
            </w:tcBorders>
            <w:noWrap/>
            <w:vAlign w:val="center"/>
          </w:tcPr>
          <w:p>
            <w:pPr>
              <w:widowControl/>
              <w:rPr>
                <w:rFonts w:ascii="宋体" w:cs="宋体"/>
                <w:sz w:val="21"/>
                <w:szCs w:val="21"/>
              </w:rPr>
            </w:pPr>
          </w:p>
        </w:tc>
      </w:tr>
      <w:tr>
        <w:tblPrEx>
          <w:tblLayout w:type="fixed"/>
          <w:tblCellMar>
            <w:top w:w="0" w:type="dxa"/>
            <w:left w:w="108" w:type="dxa"/>
            <w:bottom w:w="0" w:type="dxa"/>
            <w:right w:w="108" w:type="dxa"/>
          </w:tblCellMar>
        </w:tblPrEx>
        <w:trPr>
          <w:trHeight w:val="555"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.1</w:t>
            </w:r>
          </w:p>
        </w:tc>
        <w:tc>
          <w:tcPr>
            <w:tcW w:w="2447"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cs="宋体"/>
                <w:sz w:val="21"/>
                <w:szCs w:val="21"/>
              </w:rPr>
              <w:t>RSV A型（long株）</w:t>
            </w:r>
          </w:p>
        </w:tc>
        <w:tc>
          <w:tcPr>
            <w:tcW w:w="6095" w:type="dxa"/>
            <w:tcBorders>
              <w:top w:val="nil"/>
              <w:left w:val="nil"/>
              <w:bottom w:val="single" w:color="auto" w:sz="4" w:space="0"/>
              <w:right w:val="single" w:color="auto" w:sz="4" w:space="0"/>
            </w:tcBorders>
            <w:noWrap/>
            <w:vAlign w:val="center"/>
          </w:tcPr>
          <w:p>
            <w:pPr>
              <w:widowControl/>
              <w:rPr>
                <w:rFonts w:ascii="宋体" w:cs="宋体"/>
                <w:sz w:val="21"/>
                <w:szCs w:val="21"/>
              </w:rPr>
            </w:pPr>
            <w:r>
              <w:rPr>
                <w:rFonts w:hint="eastAsia"/>
                <w:sz w:val="21"/>
                <w:szCs w:val="21"/>
              </w:rPr>
              <w:t>最低检出限1.07×</w:t>
            </w:r>
            <w:r>
              <w:rPr>
                <w:sz w:val="21"/>
                <w:szCs w:val="21"/>
              </w:rPr>
              <w:t>10</w:t>
            </w:r>
            <w:r>
              <w:rPr>
                <w:position w:val="8"/>
                <w:sz w:val="21"/>
                <w:szCs w:val="21"/>
                <w:vertAlign w:val="superscript"/>
              </w:rPr>
              <w:t xml:space="preserve">4 </w:t>
            </w:r>
            <w:r>
              <w:rPr>
                <w:sz w:val="21"/>
                <w:szCs w:val="21"/>
              </w:rPr>
              <w:t>TCID</w:t>
            </w:r>
            <w:r>
              <w:rPr>
                <w:position w:val="-8"/>
                <w:sz w:val="21"/>
                <w:szCs w:val="21"/>
                <w:vertAlign w:val="subscript"/>
              </w:rPr>
              <w:t xml:space="preserve">50 </w:t>
            </w:r>
            <w:r>
              <w:rPr>
                <w:sz w:val="21"/>
                <w:szCs w:val="21"/>
              </w:rPr>
              <w:t xml:space="preserve">/ </w:t>
            </w:r>
            <w:r>
              <w:rPr>
                <w:rFonts w:hint="eastAsia"/>
                <w:sz w:val="21"/>
                <w:szCs w:val="21"/>
              </w:rPr>
              <w:t>ml</w:t>
            </w:r>
          </w:p>
        </w:tc>
      </w:tr>
      <w:tr>
        <w:tblPrEx>
          <w:tblLayout w:type="fixed"/>
          <w:tblCellMar>
            <w:top w:w="0" w:type="dxa"/>
            <w:left w:w="108" w:type="dxa"/>
            <w:bottom w:w="0" w:type="dxa"/>
            <w:right w:w="108" w:type="dxa"/>
          </w:tblCellMar>
        </w:tblPrEx>
        <w:trPr>
          <w:trHeight w:val="555"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.2</w:t>
            </w:r>
          </w:p>
        </w:tc>
        <w:tc>
          <w:tcPr>
            <w:tcW w:w="2447"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cs="宋体"/>
                <w:sz w:val="21"/>
                <w:szCs w:val="21"/>
              </w:rPr>
              <w:t>RSV B型（wild-type株）</w:t>
            </w:r>
          </w:p>
        </w:tc>
        <w:tc>
          <w:tcPr>
            <w:tcW w:w="6095" w:type="dxa"/>
            <w:tcBorders>
              <w:top w:val="nil"/>
              <w:left w:val="nil"/>
              <w:bottom w:val="single" w:color="auto" w:sz="4" w:space="0"/>
              <w:right w:val="single" w:color="auto" w:sz="4" w:space="0"/>
            </w:tcBorders>
            <w:noWrap/>
            <w:vAlign w:val="center"/>
          </w:tcPr>
          <w:p>
            <w:pPr>
              <w:widowControl/>
              <w:rPr>
                <w:rFonts w:ascii="宋体" w:cs="宋体"/>
                <w:sz w:val="21"/>
                <w:szCs w:val="21"/>
              </w:rPr>
            </w:pPr>
            <w:r>
              <w:rPr>
                <w:rFonts w:hint="eastAsia"/>
                <w:sz w:val="21"/>
                <w:szCs w:val="21"/>
              </w:rPr>
              <w:t>最低检出限1.2×</w:t>
            </w:r>
            <w:r>
              <w:rPr>
                <w:sz w:val="21"/>
                <w:szCs w:val="21"/>
              </w:rPr>
              <w:t>10</w:t>
            </w:r>
            <w:r>
              <w:rPr>
                <w:position w:val="8"/>
                <w:sz w:val="21"/>
                <w:szCs w:val="21"/>
                <w:vertAlign w:val="superscript"/>
              </w:rPr>
              <w:t xml:space="preserve">4 </w:t>
            </w:r>
            <w:r>
              <w:rPr>
                <w:sz w:val="21"/>
                <w:szCs w:val="21"/>
              </w:rPr>
              <w:t>TCID</w:t>
            </w:r>
            <w:r>
              <w:rPr>
                <w:position w:val="-8"/>
                <w:sz w:val="21"/>
                <w:szCs w:val="21"/>
                <w:vertAlign w:val="subscript"/>
              </w:rPr>
              <w:t xml:space="preserve">50 </w:t>
            </w:r>
            <w:r>
              <w:rPr>
                <w:sz w:val="21"/>
                <w:szCs w:val="21"/>
              </w:rPr>
              <w:t>/</w:t>
            </w:r>
            <w:r>
              <w:rPr>
                <w:rFonts w:hint="eastAsia"/>
                <w:sz w:val="21"/>
                <w:szCs w:val="21"/>
              </w:rPr>
              <w:t xml:space="preserve"> ml</w:t>
            </w:r>
          </w:p>
        </w:tc>
      </w:tr>
      <w:tr>
        <w:tblPrEx>
          <w:tblLayout w:type="fixed"/>
          <w:tblCellMar>
            <w:top w:w="0" w:type="dxa"/>
            <w:left w:w="108" w:type="dxa"/>
            <w:bottom w:w="0" w:type="dxa"/>
            <w:right w:w="108" w:type="dxa"/>
          </w:tblCellMar>
        </w:tblPrEx>
        <w:trPr>
          <w:trHeight w:val="555"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2447"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cs="宋体"/>
                <w:sz w:val="21"/>
                <w:szCs w:val="21"/>
              </w:rPr>
              <w:t>对呼吸道合胞病毒的反应性</w:t>
            </w:r>
          </w:p>
        </w:tc>
        <w:tc>
          <w:tcPr>
            <w:tcW w:w="6095" w:type="dxa"/>
            <w:tcBorders>
              <w:top w:val="nil"/>
              <w:left w:val="nil"/>
              <w:bottom w:val="single" w:color="auto" w:sz="4" w:space="0"/>
              <w:right w:val="single" w:color="auto" w:sz="4" w:space="0"/>
            </w:tcBorders>
            <w:noWrap/>
            <w:vAlign w:val="center"/>
          </w:tcPr>
          <w:p>
            <w:pPr>
              <w:widowControl/>
              <w:rPr>
                <w:rFonts w:ascii="宋体" w:cs="宋体"/>
                <w:sz w:val="21"/>
                <w:szCs w:val="21"/>
              </w:rPr>
            </w:pPr>
            <w:r>
              <w:rPr>
                <w:rFonts w:hint="eastAsia" w:ascii="宋体" w:cs="宋体"/>
                <w:sz w:val="21"/>
                <w:szCs w:val="21"/>
              </w:rPr>
              <w:t>能检出：呼吸道合胞病毒A型（A2株、long株）、B型（9320株、wild-type株）</w:t>
            </w:r>
          </w:p>
        </w:tc>
      </w:tr>
      <w:tr>
        <w:tblPrEx>
          <w:tblLayout w:type="fixed"/>
          <w:tblCellMar>
            <w:top w:w="0" w:type="dxa"/>
            <w:left w:w="108" w:type="dxa"/>
            <w:bottom w:w="0" w:type="dxa"/>
            <w:right w:w="108" w:type="dxa"/>
          </w:tblCellMar>
        </w:tblPrEx>
        <w:trPr>
          <w:trHeight w:val="594"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2447"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cs="宋体"/>
                <w:sz w:val="21"/>
                <w:szCs w:val="21"/>
              </w:rPr>
              <w:t>交叉反应</w:t>
            </w:r>
          </w:p>
        </w:tc>
        <w:tc>
          <w:tcPr>
            <w:tcW w:w="6095" w:type="dxa"/>
            <w:tcBorders>
              <w:top w:val="nil"/>
              <w:left w:val="nil"/>
              <w:bottom w:val="single" w:color="auto" w:sz="4" w:space="0"/>
              <w:right w:val="single" w:color="auto" w:sz="4" w:space="0"/>
            </w:tcBorders>
            <w:noWrap/>
            <w:vAlign w:val="center"/>
          </w:tcPr>
          <w:p>
            <w:pPr>
              <w:widowControl/>
              <w:rPr>
                <w:rFonts w:ascii="宋体" w:cs="宋体"/>
                <w:sz w:val="21"/>
                <w:szCs w:val="21"/>
              </w:rPr>
            </w:pPr>
            <w:r>
              <w:rPr>
                <w:rFonts w:hint="eastAsia"/>
                <w:sz w:val="21"/>
                <w:szCs w:val="21"/>
              </w:rPr>
              <w:t>确认与以下细菌、真菌没有交叉反应。</w:t>
            </w:r>
          </w:p>
        </w:tc>
      </w:tr>
      <w:tr>
        <w:tblPrEx>
          <w:tblLayout w:type="fixed"/>
          <w:tblCellMar>
            <w:top w:w="0" w:type="dxa"/>
            <w:left w:w="108" w:type="dxa"/>
            <w:bottom w:w="0" w:type="dxa"/>
            <w:right w:w="108" w:type="dxa"/>
          </w:tblCellMar>
        </w:tblPrEx>
        <w:trPr>
          <w:trHeight w:val="555"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.1</w:t>
            </w:r>
          </w:p>
        </w:tc>
        <w:tc>
          <w:tcPr>
            <w:tcW w:w="2447"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cs="宋体"/>
                <w:sz w:val="21"/>
                <w:szCs w:val="21"/>
              </w:rPr>
              <w:t>细菌</w:t>
            </w:r>
          </w:p>
        </w:tc>
        <w:tc>
          <w:tcPr>
            <w:tcW w:w="6095" w:type="dxa"/>
            <w:tcBorders>
              <w:top w:val="nil"/>
              <w:left w:val="nil"/>
              <w:bottom w:val="single" w:color="auto" w:sz="4" w:space="0"/>
              <w:right w:val="single" w:color="auto" w:sz="4" w:space="0"/>
            </w:tcBorders>
            <w:noWrap/>
            <w:vAlign w:val="center"/>
          </w:tcPr>
          <w:p>
            <w:pPr>
              <w:pStyle w:val="217"/>
              <w:jc w:val="both"/>
              <w:rPr>
                <w:sz w:val="21"/>
                <w:szCs w:val="21"/>
              </w:rPr>
            </w:pPr>
            <w:r>
              <w:rPr>
                <w:rFonts w:hint="eastAsia"/>
                <w:sz w:val="21"/>
                <w:szCs w:val="21"/>
              </w:rPr>
              <w:t>大肠埃希菌、绿脓杆菌、卡他布兰汉菌、粪肠球菌、柠檬酸杆菌、金黄色葡萄球菌、克雷伯氏肺炎杆菌、小肠结肠炎耶尔森菌、副溶血弧菌、福氏志贺菌、脆弱拟杆菌、牛结核分枝杆菌、结核分枝杆菌、鸟分枝杆菌、肠炎沙门菌、猿猴分枝杆菌、龟分枝杆菌、空肠弯曲菌。</w:t>
            </w:r>
          </w:p>
        </w:tc>
      </w:tr>
      <w:tr>
        <w:tblPrEx>
          <w:tblLayout w:type="fixed"/>
          <w:tblCellMar>
            <w:top w:w="0" w:type="dxa"/>
            <w:left w:w="108" w:type="dxa"/>
            <w:bottom w:w="0" w:type="dxa"/>
            <w:right w:w="108" w:type="dxa"/>
          </w:tblCellMar>
        </w:tblPrEx>
        <w:trPr>
          <w:trHeight w:val="555"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.2</w:t>
            </w:r>
          </w:p>
        </w:tc>
        <w:tc>
          <w:tcPr>
            <w:tcW w:w="2447"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cs="宋体"/>
                <w:sz w:val="21"/>
                <w:szCs w:val="21"/>
              </w:rPr>
              <w:t>病毒及衣原体</w:t>
            </w:r>
          </w:p>
        </w:tc>
        <w:tc>
          <w:tcPr>
            <w:tcW w:w="6095" w:type="dxa"/>
            <w:tcBorders>
              <w:top w:val="nil"/>
              <w:left w:val="nil"/>
              <w:bottom w:val="single" w:color="auto" w:sz="4" w:space="0"/>
              <w:right w:val="single" w:color="auto" w:sz="4" w:space="0"/>
            </w:tcBorders>
            <w:noWrap/>
            <w:vAlign w:val="center"/>
          </w:tcPr>
          <w:p>
            <w:pPr>
              <w:widowControl/>
              <w:rPr>
                <w:rFonts w:ascii="宋体" w:cs="宋体"/>
                <w:sz w:val="21"/>
                <w:szCs w:val="21"/>
              </w:rPr>
            </w:pPr>
            <w:r>
              <w:rPr>
                <w:rFonts w:hint="eastAsia"/>
                <w:sz w:val="21"/>
                <w:szCs w:val="21"/>
              </w:rPr>
              <w:t>确认与以下病毒及衣原体没有交叉反应。流感病毒A型、流感病毒B型、Parainfluenza1，Grade2副流感1、Parainfluenza2，Grade2副流感2、Parainfluenza3，Grade2副流感3、腺病毒1型、腺病毒2型、腺病毒3型、腺病毒6型、腺病毒7型、腺病毒55型、Mumps，Grade2腮腺炎、Rotavirus Antigen轮状病毒、Measles, Grade2麻疹、Chlamydia pneumoniae肺炎衣原体、Chlamydia trachomatis沙眼衣原体。</w:t>
            </w:r>
          </w:p>
        </w:tc>
      </w:tr>
      <w:tr>
        <w:tblPrEx>
          <w:tblLayout w:type="fixed"/>
          <w:tblCellMar>
            <w:top w:w="0" w:type="dxa"/>
            <w:left w:w="108" w:type="dxa"/>
            <w:bottom w:w="0" w:type="dxa"/>
            <w:right w:w="108" w:type="dxa"/>
          </w:tblCellMar>
        </w:tblPrEx>
        <w:trPr>
          <w:trHeight w:val="555"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2447" w:type="dxa"/>
            <w:tcBorders>
              <w:top w:val="nil"/>
              <w:left w:val="nil"/>
              <w:bottom w:val="single" w:color="auto" w:sz="4" w:space="0"/>
              <w:right w:val="single" w:color="auto" w:sz="4" w:space="0"/>
            </w:tcBorders>
            <w:noWrap/>
            <w:vAlign w:val="center"/>
          </w:tcPr>
          <w:p>
            <w:pPr>
              <w:widowControl/>
              <w:jc w:val="center"/>
              <w:rPr>
                <w:color w:val="000000" w:themeColor="text1"/>
                <w:sz w:val="21"/>
                <w:szCs w:val="21"/>
                <w14:textFill>
                  <w14:solidFill>
                    <w14:schemeClr w14:val="tx1"/>
                  </w14:solidFill>
                </w14:textFill>
              </w:rPr>
            </w:pPr>
            <w:r>
              <w:rPr>
                <w:rFonts w:hint="eastAsia" w:ascii="宋体" w:cs="宋体"/>
                <w:sz w:val="21"/>
                <w:szCs w:val="21"/>
              </w:rPr>
              <w:t>抗干扰能力</w:t>
            </w:r>
          </w:p>
        </w:tc>
        <w:tc>
          <w:tcPr>
            <w:tcW w:w="6095" w:type="dxa"/>
            <w:tcBorders>
              <w:top w:val="nil"/>
              <w:left w:val="nil"/>
              <w:bottom w:val="single" w:color="auto" w:sz="4" w:space="0"/>
              <w:right w:val="single" w:color="auto" w:sz="4" w:space="0"/>
            </w:tcBorders>
            <w:noWrap/>
            <w:vAlign w:val="center"/>
          </w:tcPr>
          <w:p>
            <w:pPr>
              <w:widowControl/>
              <w:rPr>
                <w:color w:val="000000" w:themeColor="text1"/>
                <w:sz w:val="21"/>
                <w:szCs w:val="21"/>
                <w14:textFill>
                  <w14:solidFill>
                    <w14:schemeClr w14:val="tx1"/>
                  </w14:solidFill>
                </w14:textFill>
              </w:rPr>
            </w:pPr>
            <w:r>
              <w:rPr>
                <w:rFonts w:hint="eastAsia" w:ascii="宋体" w:cs="宋体"/>
                <w:sz w:val="21"/>
                <w:szCs w:val="21"/>
              </w:rPr>
              <w:t>包括血液、粘蛋白、哮喘病人的样本和糖皮质激素：醋酸地塞米松；抗生素：头孢拉定、硫酸庆大霉素；达菲等药物的样本，均不会对呼吸道合胞病毒抗原检测试剂盒（胶体金法）检测造成干扰</w:t>
            </w:r>
          </w:p>
        </w:tc>
      </w:tr>
    </w:tbl>
    <w:p>
      <w:pPr>
        <w:numPr>
          <w:ilvl w:val="0"/>
          <w:numId w:val="0"/>
        </w:numPr>
        <w:spacing w:line="360" w:lineRule="auto"/>
        <w:ind w:leftChars="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w:t>
      </w:r>
      <w:r>
        <w:rPr>
          <w:rFonts w:hint="eastAsia" w:ascii="宋体" w:hAnsi="宋体"/>
          <w:snapToGrid w:val="0"/>
          <w:szCs w:val="21"/>
        </w:rPr>
        <w:t>腺病毒抗原检测试剂盒</w:t>
      </w:r>
    </w:p>
    <w:tbl>
      <w:tblPr>
        <w:tblStyle w:val="32"/>
        <w:tblW w:w="9381" w:type="dxa"/>
        <w:jc w:val="center"/>
        <w:tblInd w:w="0" w:type="dxa"/>
        <w:tblLayout w:type="fixed"/>
        <w:tblCellMar>
          <w:top w:w="0" w:type="dxa"/>
          <w:left w:w="108" w:type="dxa"/>
          <w:bottom w:w="0" w:type="dxa"/>
          <w:right w:w="108" w:type="dxa"/>
        </w:tblCellMar>
      </w:tblPr>
      <w:tblGrid>
        <w:gridCol w:w="839"/>
        <w:gridCol w:w="2447"/>
        <w:gridCol w:w="6095"/>
      </w:tblGrid>
      <w:tr>
        <w:tblPrEx>
          <w:tblLayout w:type="fixed"/>
          <w:tblCellMar>
            <w:top w:w="0" w:type="dxa"/>
            <w:left w:w="108" w:type="dxa"/>
            <w:bottom w:w="0" w:type="dxa"/>
            <w:right w:w="108" w:type="dxa"/>
          </w:tblCellMar>
        </w:tblPrEx>
        <w:trPr>
          <w:trHeight w:val="47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2447" w:type="dxa"/>
            <w:tcBorders>
              <w:top w:val="single" w:color="auto" w:sz="4" w:space="0"/>
              <w:left w:val="nil"/>
              <w:bottom w:val="single" w:color="auto" w:sz="4" w:space="0"/>
              <w:right w:val="single" w:color="auto" w:sz="4" w:space="0"/>
            </w:tcBorders>
            <w:vAlign w:val="center"/>
          </w:tcPr>
          <w:p>
            <w:pPr>
              <w:widowControl/>
              <w:ind w:firstLine="210" w:firstLineChars="10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名称</w:t>
            </w:r>
          </w:p>
        </w:tc>
        <w:tc>
          <w:tcPr>
            <w:tcW w:w="6095" w:type="dxa"/>
            <w:tcBorders>
              <w:top w:val="single" w:color="auto" w:sz="4" w:space="0"/>
              <w:left w:val="nil"/>
              <w:bottom w:val="single" w:color="auto" w:sz="4" w:space="0"/>
              <w:right w:val="single" w:color="auto" w:sz="4" w:space="0"/>
            </w:tcBorders>
            <w:vAlign w:val="center"/>
          </w:tcPr>
          <w:p>
            <w:pPr>
              <w:widowControl/>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技术参数</w:t>
            </w:r>
          </w:p>
        </w:tc>
      </w:tr>
      <w:tr>
        <w:tblPrEx>
          <w:tblLayout w:type="fixed"/>
          <w:tblCellMar>
            <w:top w:w="0" w:type="dxa"/>
            <w:left w:w="108" w:type="dxa"/>
            <w:bottom w:w="0" w:type="dxa"/>
            <w:right w:w="108" w:type="dxa"/>
          </w:tblCellMar>
        </w:tblPrEx>
        <w:trPr>
          <w:trHeight w:val="47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2447" w:type="dxa"/>
            <w:tcBorders>
              <w:top w:val="single" w:color="auto" w:sz="4" w:space="0"/>
              <w:left w:val="nil"/>
              <w:bottom w:val="single" w:color="auto" w:sz="4" w:space="0"/>
              <w:right w:val="single" w:color="auto" w:sz="4" w:space="0"/>
            </w:tcBorders>
            <w:vAlign w:val="center"/>
          </w:tcPr>
          <w:p>
            <w:pPr>
              <w:widowControl/>
              <w:jc w:val="center"/>
              <w:rPr>
                <w:color w:val="000000" w:themeColor="text1"/>
                <w:sz w:val="21"/>
                <w:szCs w:val="21"/>
                <w14:textFill>
                  <w14:solidFill>
                    <w14:schemeClr w14:val="tx1"/>
                  </w14:solidFill>
                </w14:textFill>
              </w:rPr>
            </w:pPr>
            <w:r>
              <w:rPr>
                <w:rFonts w:hint="eastAsia" w:ascii="宋体" w:cs="宋体"/>
                <w:sz w:val="21"/>
                <w:szCs w:val="21"/>
              </w:rPr>
              <w:t>有效期及储存条件</w:t>
            </w:r>
          </w:p>
        </w:tc>
        <w:tc>
          <w:tcPr>
            <w:tcW w:w="6095" w:type="dxa"/>
            <w:tcBorders>
              <w:top w:val="single" w:color="auto" w:sz="4" w:space="0"/>
              <w:left w:val="nil"/>
              <w:bottom w:val="single" w:color="auto" w:sz="4" w:space="0"/>
              <w:right w:val="single" w:color="auto" w:sz="4" w:space="0"/>
            </w:tcBorders>
            <w:vAlign w:val="center"/>
          </w:tcPr>
          <w:p>
            <w:pPr>
              <w:widowControl/>
              <w:rPr>
                <w:color w:val="000000" w:themeColor="text1"/>
                <w:sz w:val="21"/>
                <w:szCs w:val="21"/>
                <w14:textFill>
                  <w14:solidFill>
                    <w14:schemeClr w14:val="tx1"/>
                  </w14:solidFill>
                </w14:textFill>
              </w:rPr>
            </w:pPr>
            <w:r>
              <w:rPr>
                <w:rFonts w:hint="eastAsia" w:ascii="宋体" w:cs="宋体"/>
                <w:sz w:val="21"/>
                <w:szCs w:val="21"/>
                <w:lang w:val="en-US" w:eastAsia="zh-CN"/>
              </w:rPr>
              <w:t>≥</w:t>
            </w:r>
            <w:r>
              <w:rPr>
                <w:rFonts w:ascii="宋体" w:cs="宋体"/>
                <w:sz w:val="21"/>
                <w:szCs w:val="21"/>
              </w:rPr>
              <w:t>18</w:t>
            </w:r>
            <w:r>
              <w:rPr>
                <w:rFonts w:hint="eastAsia" w:ascii="宋体" w:cs="宋体"/>
                <w:sz w:val="21"/>
                <w:szCs w:val="21"/>
              </w:rPr>
              <w:t>个月</w:t>
            </w:r>
          </w:p>
        </w:tc>
      </w:tr>
      <w:tr>
        <w:tblPrEx>
          <w:tblLayout w:type="fixed"/>
          <w:tblCellMar>
            <w:top w:w="0" w:type="dxa"/>
            <w:left w:w="108" w:type="dxa"/>
            <w:bottom w:w="0" w:type="dxa"/>
            <w:right w:w="108" w:type="dxa"/>
          </w:tblCellMar>
        </w:tblPrEx>
        <w:trPr>
          <w:trHeight w:val="47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2447" w:type="dxa"/>
            <w:tcBorders>
              <w:top w:val="single" w:color="auto" w:sz="4" w:space="0"/>
              <w:left w:val="nil"/>
              <w:bottom w:val="single" w:color="auto" w:sz="4" w:space="0"/>
              <w:right w:val="single" w:color="auto" w:sz="4" w:space="0"/>
            </w:tcBorders>
            <w:vAlign w:val="center"/>
          </w:tcPr>
          <w:p>
            <w:pPr>
              <w:widowControl/>
              <w:jc w:val="center"/>
              <w:rPr>
                <w:rFonts w:ascii="宋体" w:cs="宋体"/>
                <w:sz w:val="21"/>
                <w:szCs w:val="21"/>
              </w:rPr>
            </w:pPr>
            <w:r>
              <w:rPr>
                <w:rFonts w:hint="eastAsia" w:ascii="宋体" w:hAnsi="宋体" w:cs="宋体"/>
                <w:sz w:val="21"/>
                <w:szCs w:val="21"/>
              </w:rPr>
              <w:t>最低检出限</w:t>
            </w:r>
          </w:p>
        </w:tc>
        <w:tc>
          <w:tcPr>
            <w:tcW w:w="6095" w:type="dxa"/>
            <w:tcBorders>
              <w:top w:val="single" w:color="auto" w:sz="4" w:space="0"/>
              <w:left w:val="nil"/>
              <w:bottom w:val="single" w:color="auto" w:sz="4" w:space="0"/>
              <w:right w:val="single" w:color="auto" w:sz="4" w:space="0"/>
            </w:tcBorders>
            <w:vAlign w:val="center"/>
          </w:tcPr>
          <w:p>
            <w:pPr>
              <w:widowControl/>
              <w:rPr>
                <w:rFonts w:ascii="宋体" w:cs="宋体"/>
                <w:sz w:val="21"/>
                <w:szCs w:val="21"/>
              </w:rPr>
            </w:pPr>
          </w:p>
        </w:tc>
      </w:tr>
      <w:tr>
        <w:tblPrEx>
          <w:tblLayout w:type="fixed"/>
          <w:tblCellMar>
            <w:top w:w="0" w:type="dxa"/>
            <w:left w:w="108" w:type="dxa"/>
            <w:bottom w:w="0" w:type="dxa"/>
            <w:right w:w="108" w:type="dxa"/>
          </w:tblCellMar>
        </w:tblPrEx>
        <w:trPr>
          <w:trHeight w:val="47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.1</w:t>
            </w:r>
          </w:p>
        </w:tc>
        <w:tc>
          <w:tcPr>
            <w:tcW w:w="2447" w:type="dxa"/>
            <w:tcBorders>
              <w:top w:val="single" w:color="auto" w:sz="4" w:space="0"/>
              <w:left w:val="nil"/>
              <w:bottom w:val="single" w:color="auto" w:sz="4" w:space="0"/>
              <w:right w:val="single" w:color="auto" w:sz="4" w:space="0"/>
            </w:tcBorders>
            <w:vAlign w:val="center"/>
          </w:tcPr>
          <w:p>
            <w:pPr>
              <w:widowControl/>
              <w:jc w:val="center"/>
              <w:rPr>
                <w:rFonts w:ascii="宋体" w:cs="宋体"/>
                <w:sz w:val="21"/>
                <w:szCs w:val="21"/>
              </w:rPr>
            </w:pPr>
            <w:r>
              <w:rPr>
                <w:rFonts w:hint="eastAsia" w:ascii="宋体" w:hAnsi="宋体"/>
                <w:sz w:val="21"/>
                <w:szCs w:val="21"/>
              </w:rPr>
              <w:t>ADV3</w:t>
            </w:r>
          </w:p>
        </w:tc>
        <w:tc>
          <w:tcPr>
            <w:tcW w:w="6095" w:type="dxa"/>
            <w:tcBorders>
              <w:top w:val="single" w:color="auto" w:sz="4" w:space="0"/>
              <w:left w:val="nil"/>
              <w:bottom w:val="single" w:color="auto" w:sz="4" w:space="0"/>
              <w:right w:val="single" w:color="auto" w:sz="4" w:space="0"/>
            </w:tcBorders>
            <w:vAlign w:val="center"/>
          </w:tcPr>
          <w:p>
            <w:pPr>
              <w:widowControl/>
              <w:rPr>
                <w:rFonts w:ascii="宋体" w:cs="宋体"/>
                <w:sz w:val="21"/>
                <w:szCs w:val="21"/>
              </w:rPr>
            </w:pPr>
            <w:r>
              <w:rPr>
                <w:rFonts w:hint="eastAsia" w:ascii="宋体" w:hAnsi="宋体"/>
                <w:sz w:val="21"/>
                <w:szCs w:val="21"/>
              </w:rPr>
              <w:t>本检测试剂盒对ADV3型最小检测灵敏度为6.0X10</w:t>
            </w:r>
            <w:r>
              <w:rPr>
                <w:rFonts w:hint="eastAsia" w:ascii="宋体" w:hAnsi="宋体"/>
                <w:sz w:val="21"/>
                <w:szCs w:val="21"/>
                <w:vertAlign w:val="superscript"/>
              </w:rPr>
              <w:t>3</w:t>
            </w:r>
            <w:r>
              <w:rPr>
                <w:rFonts w:hint="eastAsia" w:ascii="宋体" w:hAnsi="宋体"/>
                <w:sz w:val="21"/>
                <w:szCs w:val="21"/>
              </w:rPr>
              <w:t>VP/ml(VP:病毒粒子);</w:t>
            </w:r>
          </w:p>
        </w:tc>
      </w:tr>
      <w:tr>
        <w:tblPrEx>
          <w:tblLayout w:type="fixed"/>
          <w:tblCellMar>
            <w:top w:w="0" w:type="dxa"/>
            <w:left w:w="108" w:type="dxa"/>
            <w:bottom w:w="0" w:type="dxa"/>
            <w:right w:w="108" w:type="dxa"/>
          </w:tblCellMar>
        </w:tblPrEx>
        <w:trPr>
          <w:trHeight w:val="47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.2</w:t>
            </w:r>
          </w:p>
        </w:tc>
        <w:tc>
          <w:tcPr>
            <w:tcW w:w="2447" w:type="dxa"/>
            <w:tcBorders>
              <w:top w:val="single" w:color="auto" w:sz="4" w:space="0"/>
              <w:left w:val="nil"/>
              <w:bottom w:val="single" w:color="auto" w:sz="4" w:space="0"/>
              <w:right w:val="single" w:color="auto" w:sz="4" w:space="0"/>
            </w:tcBorders>
            <w:vAlign w:val="center"/>
          </w:tcPr>
          <w:p>
            <w:pPr>
              <w:widowControl/>
              <w:jc w:val="center"/>
              <w:rPr>
                <w:rFonts w:ascii="宋体" w:cs="宋体"/>
                <w:sz w:val="21"/>
                <w:szCs w:val="21"/>
              </w:rPr>
            </w:pPr>
            <w:r>
              <w:rPr>
                <w:rFonts w:hint="eastAsia" w:ascii="宋体" w:hAnsi="宋体"/>
                <w:sz w:val="21"/>
                <w:szCs w:val="21"/>
              </w:rPr>
              <w:t>ADV6和7</w:t>
            </w:r>
          </w:p>
        </w:tc>
        <w:tc>
          <w:tcPr>
            <w:tcW w:w="6095" w:type="dxa"/>
            <w:tcBorders>
              <w:top w:val="single" w:color="auto" w:sz="4" w:space="0"/>
              <w:left w:val="nil"/>
              <w:bottom w:val="single" w:color="auto" w:sz="4" w:space="0"/>
              <w:right w:val="single" w:color="auto" w:sz="4" w:space="0"/>
            </w:tcBorders>
            <w:vAlign w:val="center"/>
          </w:tcPr>
          <w:p>
            <w:pPr>
              <w:widowControl/>
              <w:rPr>
                <w:rFonts w:ascii="宋体" w:cs="宋体"/>
                <w:sz w:val="21"/>
                <w:szCs w:val="21"/>
              </w:rPr>
            </w:pPr>
            <w:r>
              <w:rPr>
                <w:rFonts w:hint="eastAsia" w:ascii="宋体" w:hAnsi="宋体"/>
                <w:sz w:val="21"/>
                <w:szCs w:val="21"/>
              </w:rPr>
              <w:t>对ADV6和7型最小检测灵敏度均为1.0X10</w:t>
            </w:r>
            <w:r>
              <w:rPr>
                <w:rFonts w:hint="eastAsia" w:ascii="宋体" w:hAnsi="宋体"/>
                <w:sz w:val="21"/>
                <w:szCs w:val="21"/>
                <w:vertAlign w:val="superscript"/>
              </w:rPr>
              <w:t>4</w:t>
            </w:r>
            <w:r>
              <w:rPr>
                <w:rFonts w:hint="eastAsia" w:ascii="宋体" w:hAnsi="宋体"/>
                <w:sz w:val="21"/>
                <w:szCs w:val="21"/>
              </w:rPr>
              <w:t>VP/ml(VP:病毒粒子)</w:t>
            </w:r>
          </w:p>
        </w:tc>
      </w:tr>
      <w:tr>
        <w:tblPrEx>
          <w:tblLayout w:type="fixed"/>
          <w:tblCellMar>
            <w:top w:w="0" w:type="dxa"/>
            <w:left w:w="108" w:type="dxa"/>
            <w:bottom w:w="0" w:type="dxa"/>
            <w:right w:w="108" w:type="dxa"/>
          </w:tblCellMar>
        </w:tblPrEx>
        <w:trPr>
          <w:trHeight w:val="47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2447" w:type="dxa"/>
            <w:tcBorders>
              <w:top w:val="single" w:color="auto" w:sz="4" w:space="0"/>
              <w:left w:val="nil"/>
              <w:bottom w:val="single" w:color="auto" w:sz="4" w:space="0"/>
              <w:right w:val="single" w:color="auto" w:sz="4" w:space="0"/>
            </w:tcBorders>
            <w:vAlign w:val="center"/>
          </w:tcPr>
          <w:p>
            <w:pPr>
              <w:widowControl/>
              <w:jc w:val="center"/>
              <w:rPr>
                <w:rFonts w:ascii="宋体" w:cs="宋体"/>
                <w:sz w:val="21"/>
                <w:szCs w:val="21"/>
              </w:rPr>
            </w:pPr>
            <w:r>
              <w:rPr>
                <w:rFonts w:hint="eastAsia" w:ascii="宋体" w:cs="宋体"/>
                <w:sz w:val="21"/>
                <w:szCs w:val="21"/>
              </w:rPr>
              <w:t>与血清型的反应性</w:t>
            </w:r>
          </w:p>
        </w:tc>
        <w:tc>
          <w:tcPr>
            <w:tcW w:w="6095" w:type="dxa"/>
            <w:tcBorders>
              <w:top w:val="single" w:color="auto" w:sz="4" w:space="0"/>
              <w:left w:val="nil"/>
              <w:bottom w:val="single" w:color="auto" w:sz="4" w:space="0"/>
              <w:right w:val="single" w:color="auto" w:sz="4" w:space="0"/>
            </w:tcBorders>
            <w:vAlign w:val="center"/>
          </w:tcPr>
          <w:p>
            <w:pPr>
              <w:widowControl/>
              <w:rPr>
                <w:rFonts w:ascii="宋体" w:hAnsi="宋体"/>
                <w:sz w:val="21"/>
                <w:szCs w:val="21"/>
              </w:rPr>
            </w:pPr>
            <w:r>
              <w:rPr>
                <w:rFonts w:hint="eastAsia" w:ascii="宋体" w:hAnsi="宋体"/>
                <w:sz w:val="21"/>
                <w:szCs w:val="21"/>
              </w:rPr>
              <w:t>确认本检测试剂与腺病毒1、2、3、4、5、6、7、8、11、19、37、55型有反应。3、7、11、55属于B组；1、2、5、6属于C组；4属于E组；8、19、37属于D组；1、2型低浓度可能会存在假阴。</w:t>
            </w:r>
          </w:p>
        </w:tc>
      </w:tr>
      <w:tr>
        <w:tblPrEx>
          <w:tblLayout w:type="fixed"/>
          <w:tblCellMar>
            <w:top w:w="0" w:type="dxa"/>
            <w:left w:w="108" w:type="dxa"/>
            <w:bottom w:w="0" w:type="dxa"/>
            <w:right w:w="108" w:type="dxa"/>
          </w:tblCellMar>
        </w:tblPrEx>
        <w:trPr>
          <w:trHeight w:val="470" w:hRule="atLeast"/>
          <w:jc w:val="center"/>
        </w:trPr>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24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sz w:val="21"/>
                <w:szCs w:val="21"/>
              </w:rPr>
            </w:pPr>
            <w:r>
              <w:rPr>
                <w:rFonts w:hint="eastAsia" w:ascii="宋体" w:cs="宋体"/>
                <w:sz w:val="21"/>
                <w:szCs w:val="21"/>
              </w:rPr>
              <w:t>交叉反应</w:t>
            </w:r>
          </w:p>
        </w:tc>
        <w:tc>
          <w:tcPr>
            <w:tcW w:w="6095"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cs="宋体"/>
                <w:sz w:val="21"/>
                <w:szCs w:val="21"/>
              </w:rPr>
            </w:pPr>
            <w:r>
              <w:rPr>
                <w:rFonts w:hint="eastAsia" w:ascii="宋体" w:hAnsi="宋体"/>
                <w:sz w:val="21"/>
                <w:szCs w:val="21"/>
              </w:rPr>
              <w:t>确认与以下细菌、真菌及病毒没有交叉反应。</w:t>
            </w:r>
          </w:p>
        </w:tc>
      </w:tr>
      <w:tr>
        <w:tblPrEx>
          <w:tblLayout w:type="fixed"/>
          <w:tblCellMar>
            <w:top w:w="0" w:type="dxa"/>
            <w:left w:w="108" w:type="dxa"/>
            <w:bottom w:w="0" w:type="dxa"/>
            <w:right w:w="108" w:type="dxa"/>
          </w:tblCellMar>
        </w:tblPrEx>
        <w:trPr>
          <w:trHeight w:val="47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.1</w:t>
            </w:r>
          </w:p>
        </w:tc>
        <w:tc>
          <w:tcPr>
            <w:tcW w:w="2447" w:type="dxa"/>
            <w:tcBorders>
              <w:top w:val="single" w:color="auto" w:sz="4" w:space="0"/>
              <w:left w:val="nil"/>
              <w:bottom w:val="single" w:color="auto" w:sz="4" w:space="0"/>
              <w:right w:val="single" w:color="auto" w:sz="4" w:space="0"/>
            </w:tcBorders>
            <w:vAlign w:val="center"/>
          </w:tcPr>
          <w:p>
            <w:pPr>
              <w:autoSpaceDE w:val="0"/>
              <w:autoSpaceDN w:val="0"/>
              <w:spacing w:line="360" w:lineRule="exact"/>
              <w:jc w:val="center"/>
              <w:textAlignment w:val="bottom"/>
              <w:rPr>
                <w:rFonts w:ascii="宋体" w:cs="宋体"/>
                <w:sz w:val="21"/>
                <w:szCs w:val="21"/>
              </w:rPr>
            </w:pPr>
            <w:r>
              <w:rPr>
                <w:rFonts w:hint="eastAsia" w:ascii="宋体" w:cs="宋体"/>
                <w:sz w:val="21"/>
                <w:szCs w:val="21"/>
              </w:rPr>
              <w:t>细菌</w:t>
            </w:r>
          </w:p>
        </w:tc>
        <w:tc>
          <w:tcPr>
            <w:tcW w:w="6095" w:type="dxa"/>
            <w:tcBorders>
              <w:top w:val="single" w:color="auto" w:sz="4" w:space="0"/>
              <w:left w:val="nil"/>
              <w:bottom w:val="single" w:color="auto" w:sz="4" w:space="0"/>
              <w:right w:val="single" w:color="auto" w:sz="4" w:space="0"/>
            </w:tcBorders>
            <w:vAlign w:val="center"/>
          </w:tcPr>
          <w:p>
            <w:pPr>
              <w:autoSpaceDE w:val="0"/>
              <w:autoSpaceDN w:val="0"/>
              <w:spacing w:line="360" w:lineRule="exact"/>
              <w:textAlignment w:val="bottom"/>
              <w:rPr>
                <w:rFonts w:ascii="宋体" w:cs="宋体"/>
                <w:sz w:val="21"/>
                <w:szCs w:val="21"/>
              </w:rPr>
            </w:pPr>
            <w:r>
              <w:rPr>
                <w:rFonts w:hint="eastAsia" w:ascii="宋体" w:cs="宋体"/>
                <w:sz w:val="21"/>
                <w:szCs w:val="21"/>
              </w:rPr>
              <w:t>大肠埃希菌、绿脓杆菌、卡他布兰汉菌、粪肠球菌、柠檬酸杆菌、金黄色葡萄球菌、克雷伯氏肺炎杆菌、小肠结肠炎耶尔森菌、副溶血弧菌、福氏志贺菌、脆弱拟杆菌、牛结核分支杆菌、结核分枝杆菌、鸟分枝杆菌、肠炎沙门菌、猿猴分枝杆菌、龟分枝杆菌、空肠弯曲菌</w:t>
            </w:r>
          </w:p>
        </w:tc>
      </w:tr>
      <w:tr>
        <w:tblPrEx>
          <w:tblLayout w:type="fixed"/>
          <w:tblCellMar>
            <w:top w:w="0" w:type="dxa"/>
            <w:left w:w="108" w:type="dxa"/>
            <w:bottom w:w="0" w:type="dxa"/>
            <w:right w:w="108" w:type="dxa"/>
          </w:tblCellMar>
        </w:tblPrEx>
        <w:trPr>
          <w:trHeight w:val="47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.2</w:t>
            </w:r>
          </w:p>
        </w:tc>
        <w:tc>
          <w:tcPr>
            <w:tcW w:w="2447" w:type="dxa"/>
            <w:tcBorders>
              <w:top w:val="single" w:color="auto" w:sz="4" w:space="0"/>
              <w:left w:val="nil"/>
              <w:bottom w:val="single" w:color="auto" w:sz="4" w:space="0"/>
              <w:right w:val="single" w:color="auto" w:sz="4" w:space="0"/>
            </w:tcBorders>
            <w:vAlign w:val="center"/>
          </w:tcPr>
          <w:p>
            <w:pPr>
              <w:widowControl/>
              <w:jc w:val="center"/>
              <w:rPr>
                <w:rFonts w:ascii="宋体" w:cs="宋体"/>
                <w:sz w:val="21"/>
                <w:szCs w:val="21"/>
              </w:rPr>
            </w:pPr>
            <w:r>
              <w:rPr>
                <w:rFonts w:hint="eastAsia" w:ascii="宋体" w:cs="宋体"/>
                <w:sz w:val="21"/>
                <w:szCs w:val="21"/>
              </w:rPr>
              <w:t>病毒及衣原体</w:t>
            </w:r>
          </w:p>
        </w:tc>
        <w:tc>
          <w:tcPr>
            <w:tcW w:w="6095" w:type="dxa"/>
            <w:tcBorders>
              <w:top w:val="single" w:color="auto" w:sz="4" w:space="0"/>
              <w:left w:val="nil"/>
              <w:bottom w:val="single" w:color="auto" w:sz="4" w:space="0"/>
              <w:right w:val="single" w:color="auto" w:sz="4" w:space="0"/>
            </w:tcBorders>
            <w:vAlign w:val="center"/>
          </w:tcPr>
          <w:p>
            <w:pPr>
              <w:autoSpaceDE w:val="0"/>
              <w:autoSpaceDN w:val="0"/>
              <w:spacing w:line="360" w:lineRule="exact"/>
              <w:textAlignment w:val="bottom"/>
              <w:rPr>
                <w:rFonts w:ascii="宋体" w:cs="宋体"/>
                <w:sz w:val="21"/>
                <w:szCs w:val="21"/>
              </w:rPr>
            </w:pPr>
            <w:r>
              <w:rPr>
                <w:rFonts w:hint="eastAsia" w:ascii="宋体" w:cs="宋体"/>
                <w:sz w:val="21"/>
                <w:szCs w:val="21"/>
              </w:rPr>
              <w:t>流感病毒</w:t>
            </w:r>
            <w:r>
              <w:rPr>
                <w:rFonts w:ascii="宋体" w:cs="宋体"/>
                <w:sz w:val="21"/>
                <w:szCs w:val="21"/>
              </w:rPr>
              <w:t>A</w:t>
            </w:r>
            <w:r>
              <w:rPr>
                <w:rFonts w:hint="eastAsia" w:ascii="宋体" w:cs="宋体"/>
                <w:sz w:val="21"/>
                <w:szCs w:val="21"/>
              </w:rPr>
              <w:t>型、流感病毒</w:t>
            </w:r>
            <w:r>
              <w:rPr>
                <w:rFonts w:ascii="宋体" w:cs="宋体"/>
                <w:sz w:val="21"/>
                <w:szCs w:val="21"/>
              </w:rPr>
              <w:t>B</w:t>
            </w:r>
            <w:r>
              <w:rPr>
                <w:rFonts w:hint="eastAsia" w:ascii="宋体" w:cs="宋体"/>
                <w:sz w:val="21"/>
                <w:szCs w:val="21"/>
              </w:rPr>
              <w:t>型、</w:t>
            </w:r>
            <w:r>
              <w:rPr>
                <w:rFonts w:ascii="宋体" w:cs="宋体"/>
                <w:sz w:val="21"/>
                <w:szCs w:val="21"/>
              </w:rPr>
              <w:t>Parainfluenza 1, Grade 2</w:t>
            </w:r>
            <w:r>
              <w:rPr>
                <w:rFonts w:hint="eastAsia" w:ascii="宋体" w:cs="宋体"/>
                <w:sz w:val="21"/>
                <w:szCs w:val="21"/>
              </w:rPr>
              <w:t>副流感</w:t>
            </w:r>
            <w:r>
              <w:rPr>
                <w:rFonts w:ascii="宋体" w:cs="宋体"/>
                <w:sz w:val="21"/>
                <w:szCs w:val="21"/>
              </w:rPr>
              <w:t>1</w:t>
            </w:r>
            <w:r>
              <w:rPr>
                <w:rFonts w:hint="eastAsia" w:ascii="宋体" w:cs="宋体"/>
                <w:sz w:val="21"/>
                <w:szCs w:val="21"/>
              </w:rPr>
              <w:t>、</w:t>
            </w:r>
            <w:r>
              <w:rPr>
                <w:rFonts w:ascii="宋体" w:cs="宋体"/>
                <w:sz w:val="21"/>
                <w:szCs w:val="21"/>
              </w:rPr>
              <w:t>Parainfluenza 2, Grade 2</w:t>
            </w:r>
            <w:r>
              <w:rPr>
                <w:rFonts w:hint="eastAsia" w:ascii="宋体" w:cs="宋体"/>
                <w:sz w:val="21"/>
                <w:szCs w:val="21"/>
              </w:rPr>
              <w:t>副流感</w:t>
            </w:r>
            <w:r>
              <w:rPr>
                <w:rFonts w:ascii="宋体" w:cs="宋体"/>
                <w:sz w:val="21"/>
                <w:szCs w:val="21"/>
              </w:rPr>
              <w:t>2</w:t>
            </w:r>
            <w:r>
              <w:rPr>
                <w:rFonts w:hint="eastAsia" w:ascii="宋体" w:cs="宋体"/>
                <w:sz w:val="21"/>
                <w:szCs w:val="21"/>
              </w:rPr>
              <w:t>、</w:t>
            </w:r>
            <w:r>
              <w:rPr>
                <w:rFonts w:ascii="宋体" w:cs="宋体"/>
                <w:sz w:val="21"/>
                <w:szCs w:val="21"/>
              </w:rPr>
              <w:t xml:space="preserve"> Parainfluenza 3, Grade 2</w:t>
            </w:r>
            <w:r>
              <w:rPr>
                <w:rFonts w:hint="eastAsia" w:ascii="宋体" w:cs="宋体"/>
                <w:sz w:val="21"/>
                <w:szCs w:val="21"/>
              </w:rPr>
              <w:t>副流感</w:t>
            </w:r>
            <w:r>
              <w:rPr>
                <w:rFonts w:ascii="宋体" w:cs="宋体"/>
                <w:sz w:val="21"/>
                <w:szCs w:val="21"/>
              </w:rPr>
              <w:t>3</w:t>
            </w:r>
            <w:r>
              <w:rPr>
                <w:rFonts w:hint="eastAsia" w:ascii="宋体" w:cs="宋体"/>
                <w:sz w:val="21"/>
                <w:szCs w:val="21"/>
              </w:rPr>
              <w:t>、呼吸道合胞病毒</w:t>
            </w:r>
            <w:r>
              <w:rPr>
                <w:rFonts w:ascii="宋体" w:cs="宋体"/>
                <w:sz w:val="21"/>
                <w:szCs w:val="21"/>
              </w:rPr>
              <w:t>A</w:t>
            </w:r>
            <w:r>
              <w:rPr>
                <w:rFonts w:hint="eastAsia" w:ascii="宋体" w:cs="宋体"/>
                <w:sz w:val="21"/>
                <w:szCs w:val="21"/>
              </w:rPr>
              <w:t>型（</w:t>
            </w:r>
            <w:r>
              <w:rPr>
                <w:rFonts w:ascii="宋体" w:cs="宋体"/>
                <w:sz w:val="21"/>
                <w:szCs w:val="21"/>
              </w:rPr>
              <w:t>long</w:t>
            </w:r>
            <w:r>
              <w:rPr>
                <w:rFonts w:hint="eastAsia" w:ascii="宋体" w:cs="宋体"/>
                <w:sz w:val="21"/>
                <w:szCs w:val="21"/>
              </w:rPr>
              <w:t>株）、呼吸道合胞病毒</w:t>
            </w:r>
            <w:r>
              <w:rPr>
                <w:rFonts w:ascii="宋体" w:cs="宋体"/>
                <w:sz w:val="21"/>
                <w:szCs w:val="21"/>
              </w:rPr>
              <w:t>A</w:t>
            </w:r>
            <w:r>
              <w:rPr>
                <w:rFonts w:hint="eastAsia" w:ascii="宋体" w:cs="宋体"/>
                <w:sz w:val="21"/>
                <w:szCs w:val="21"/>
              </w:rPr>
              <w:t>型（</w:t>
            </w:r>
            <w:r>
              <w:rPr>
                <w:rFonts w:ascii="宋体" w:cs="宋体"/>
                <w:sz w:val="21"/>
                <w:szCs w:val="21"/>
              </w:rPr>
              <w:t>A2</w:t>
            </w:r>
            <w:r>
              <w:rPr>
                <w:rFonts w:hint="eastAsia" w:ascii="宋体" w:cs="宋体"/>
                <w:sz w:val="21"/>
                <w:szCs w:val="21"/>
              </w:rPr>
              <w:t>株）、呼吸道合胞病毒</w:t>
            </w:r>
            <w:r>
              <w:rPr>
                <w:rFonts w:ascii="宋体" w:cs="宋体"/>
                <w:sz w:val="21"/>
                <w:szCs w:val="21"/>
              </w:rPr>
              <w:t>B</w:t>
            </w:r>
            <w:r>
              <w:rPr>
                <w:rFonts w:hint="eastAsia" w:ascii="宋体" w:cs="宋体"/>
                <w:sz w:val="21"/>
                <w:szCs w:val="21"/>
              </w:rPr>
              <w:t>型（</w:t>
            </w:r>
            <w:r>
              <w:rPr>
                <w:rFonts w:ascii="宋体" w:cs="宋体"/>
                <w:sz w:val="21"/>
                <w:szCs w:val="21"/>
              </w:rPr>
              <w:t>9320</w:t>
            </w:r>
            <w:r>
              <w:rPr>
                <w:rFonts w:hint="eastAsia" w:ascii="宋体" w:cs="宋体"/>
                <w:sz w:val="21"/>
                <w:szCs w:val="21"/>
              </w:rPr>
              <w:t>株）、</w:t>
            </w:r>
            <w:r>
              <w:rPr>
                <w:rFonts w:ascii="宋体" w:cs="宋体"/>
                <w:sz w:val="21"/>
                <w:szCs w:val="21"/>
              </w:rPr>
              <w:t>Mumps, Grade 2</w:t>
            </w:r>
            <w:r>
              <w:rPr>
                <w:rFonts w:hint="eastAsia" w:ascii="宋体" w:cs="宋体"/>
                <w:sz w:val="21"/>
                <w:szCs w:val="21"/>
              </w:rPr>
              <w:t>腮腺炎、</w:t>
            </w:r>
            <w:r>
              <w:rPr>
                <w:rFonts w:ascii="宋体" w:cs="宋体"/>
                <w:sz w:val="21"/>
                <w:szCs w:val="21"/>
              </w:rPr>
              <w:t>Rotavirus Antigen</w:t>
            </w:r>
            <w:r>
              <w:rPr>
                <w:rFonts w:hint="eastAsia" w:ascii="宋体" w:cs="宋体"/>
                <w:sz w:val="21"/>
                <w:szCs w:val="21"/>
              </w:rPr>
              <w:t>轮状病毒、</w:t>
            </w:r>
            <w:r>
              <w:rPr>
                <w:rFonts w:ascii="宋体" w:cs="宋体"/>
                <w:sz w:val="21"/>
                <w:szCs w:val="21"/>
              </w:rPr>
              <w:t>Measles, Grade 2</w:t>
            </w:r>
            <w:r>
              <w:rPr>
                <w:rFonts w:hint="eastAsia" w:ascii="宋体" w:cs="宋体"/>
                <w:sz w:val="21"/>
                <w:szCs w:val="21"/>
              </w:rPr>
              <w:t>麻疹、</w:t>
            </w:r>
            <w:r>
              <w:rPr>
                <w:rFonts w:ascii="宋体" w:cs="宋体"/>
                <w:sz w:val="21"/>
                <w:szCs w:val="21"/>
              </w:rPr>
              <w:t>Chlamydia pneumoniae</w:t>
            </w:r>
            <w:r>
              <w:rPr>
                <w:rFonts w:hint="eastAsia" w:ascii="宋体" w:cs="宋体"/>
                <w:sz w:val="21"/>
                <w:szCs w:val="21"/>
              </w:rPr>
              <w:t>肺炎衣原体、</w:t>
            </w:r>
            <w:r>
              <w:rPr>
                <w:rFonts w:ascii="宋体" w:cs="宋体"/>
                <w:sz w:val="21"/>
                <w:szCs w:val="21"/>
              </w:rPr>
              <w:t>Chlamydia trachomatis</w:t>
            </w:r>
            <w:r>
              <w:rPr>
                <w:rFonts w:hint="eastAsia" w:ascii="宋体" w:cs="宋体"/>
                <w:sz w:val="21"/>
                <w:szCs w:val="21"/>
              </w:rPr>
              <w:t>沙眼衣原体。</w:t>
            </w:r>
          </w:p>
        </w:tc>
      </w:tr>
    </w:tbl>
    <w:p>
      <w:pPr>
        <w:numPr>
          <w:ilvl w:val="0"/>
          <w:numId w:val="12"/>
        </w:numPr>
        <w:spacing w:line="360" w:lineRule="auto"/>
        <w:ind w:left="0" w:leftChars="0" w:firstLine="0" w:firstLineChars="0"/>
        <w:rPr>
          <w:rFonts w:hint="eastAsia"/>
        </w:rPr>
      </w:pPr>
      <w:r>
        <w:rPr>
          <w:rFonts w:hint="eastAsia"/>
        </w:rPr>
        <w:t>肺炎支原体抗原检测试剂盒</w:t>
      </w:r>
    </w:p>
    <w:tbl>
      <w:tblPr>
        <w:tblStyle w:val="32"/>
        <w:tblW w:w="9189" w:type="dxa"/>
        <w:jc w:val="center"/>
        <w:tblInd w:w="0" w:type="dxa"/>
        <w:tblLayout w:type="fixed"/>
        <w:tblCellMar>
          <w:top w:w="0" w:type="dxa"/>
          <w:left w:w="108" w:type="dxa"/>
          <w:bottom w:w="0" w:type="dxa"/>
          <w:right w:w="108" w:type="dxa"/>
        </w:tblCellMar>
      </w:tblPr>
      <w:tblGrid>
        <w:gridCol w:w="839"/>
        <w:gridCol w:w="1721"/>
        <w:gridCol w:w="6629"/>
      </w:tblGrid>
      <w:tr>
        <w:tblPrEx>
          <w:tblLayout w:type="fixed"/>
          <w:tblCellMar>
            <w:top w:w="0" w:type="dxa"/>
            <w:left w:w="108" w:type="dxa"/>
            <w:bottom w:w="0" w:type="dxa"/>
            <w:right w:w="108" w:type="dxa"/>
          </w:tblCellMar>
        </w:tblPrEx>
        <w:trPr>
          <w:trHeight w:val="63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1721" w:type="dxa"/>
            <w:tcBorders>
              <w:top w:val="single" w:color="auto" w:sz="4" w:space="0"/>
              <w:left w:val="nil"/>
              <w:bottom w:val="single" w:color="auto" w:sz="4" w:space="0"/>
              <w:right w:val="single" w:color="auto" w:sz="4" w:space="0"/>
            </w:tcBorders>
            <w:vAlign w:val="center"/>
          </w:tcPr>
          <w:p>
            <w:pPr>
              <w:widowControl/>
              <w:ind w:firstLine="210" w:firstLineChars="10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名称</w:t>
            </w:r>
          </w:p>
        </w:tc>
        <w:tc>
          <w:tcPr>
            <w:tcW w:w="6629" w:type="dxa"/>
            <w:tcBorders>
              <w:top w:val="single" w:color="auto" w:sz="4" w:space="0"/>
              <w:left w:val="nil"/>
              <w:bottom w:val="single" w:color="auto" w:sz="4" w:space="0"/>
              <w:right w:val="single" w:color="auto" w:sz="4" w:space="0"/>
            </w:tcBorders>
            <w:vAlign w:val="center"/>
          </w:tcPr>
          <w:p>
            <w:pPr>
              <w:widowControl/>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技术参数</w:t>
            </w:r>
          </w:p>
        </w:tc>
      </w:tr>
      <w:tr>
        <w:tblPrEx>
          <w:tblLayout w:type="fixed"/>
          <w:tblCellMar>
            <w:top w:w="0" w:type="dxa"/>
            <w:left w:w="108" w:type="dxa"/>
            <w:bottom w:w="0" w:type="dxa"/>
            <w:right w:w="108" w:type="dxa"/>
          </w:tblCellMar>
        </w:tblPrEx>
        <w:trPr>
          <w:trHeight w:val="630"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721" w:type="dxa"/>
            <w:tcBorders>
              <w:top w:val="nil"/>
              <w:left w:val="nil"/>
              <w:bottom w:val="single" w:color="auto" w:sz="4" w:space="0"/>
              <w:right w:val="single" w:color="auto" w:sz="4" w:space="0"/>
            </w:tcBorders>
            <w:noWrap/>
            <w:vAlign w:val="center"/>
          </w:tcPr>
          <w:p>
            <w:pPr>
              <w:widowControl/>
              <w:jc w:val="center"/>
              <w:rPr>
                <w:color w:val="000000" w:themeColor="text1"/>
                <w:sz w:val="21"/>
                <w:szCs w:val="21"/>
                <w14:textFill>
                  <w14:solidFill>
                    <w14:schemeClr w14:val="tx1"/>
                  </w14:solidFill>
                </w14:textFill>
              </w:rPr>
            </w:pPr>
            <w:r>
              <w:rPr>
                <w:rFonts w:hint="eastAsia" w:ascii="宋体" w:cs="宋体"/>
                <w:sz w:val="21"/>
                <w:szCs w:val="21"/>
              </w:rPr>
              <w:t>有效期及储存条件</w:t>
            </w:r>
          </w:p>
        </w:tc>
        <w:tc>
          <w:tcPr>
            <w:tcW w:w="6629" w:type="dxa"/>
            <w:tcBorders>
              <w:top w:val="nil"/>
              <w:left w:val="nil"/>
              <w:bottom w:val="single" w:color="auto" w:sz="4" w:space="0"/>
              <w:right w:val="single" w:color="auto" w:sz="4" w:space="0"/>
            </w:tcBorders>
            <w:noWrap/>
            <w:vAlign w:val="center"/>
          </w:tcPr>
          <w:p>
            <w:pPr>
              <w:widowControl/>
              <w:rPr>
                <w:color w:val="000000" w:themeColor="text1"/>
                <w:sz w:val="21"/>
                <w:szCs w:val="21"/>
                <w14:textFill>
                  <w14:solidFill>
                    <w14:schemeClr w14:val="tx1"/>
                  </w14:solidFill>
                </w14:textFill>
              </w:rPr>
            </w:pPr>
            <w:r>
              <w:rPr>
                <w:rFonts w:hint="eastAsia" w:ascii="宋体" w:cs="宋体"/>
                <w:sz w:val="21"/>
                <w:szCs w:val="21"/>
                <w:lang w:val="en-US" w:eastAsia="zh-CN"/>
              </w:rPr>
              <w:t>≥</w:t>
            </w:r>
            <w:r>
              <w:rPr>
                <w:rFonts w:ascii="宋体" w:cs="宋体"/>
                <w:sz w:val="21"/>
                <w:szCs w:val="21"/>
              </w:rPr>
              <w:t>18</w:t>
            </w:r>
            <w:r>
              <w:rPr>
                <w:rFonts w:hint="eastAsia" w:ascii="宋体" w:cs="宋体"/>
                <w:sz w:val="21"/>
                <w:szCs w:val="21"/>
              </w:rPr>
              <w:t>个月</w:t>
            </w:r>
          </w:p>
        </w:tc>
      </w:tr>
      <w:tr>
        <w:tblPrEx>
          <w:tblLayout w:type="fixed"/>
          <w:tblCellMar>
            <w:top w:w="0" w:type="dxa"/>
            <w:left w:w="108" w:type="dxa"/>
            <w:bottom w:w="0" w:type="dxa"/>
            <w:right w:w="108" w:type="dxa"/>
          </w:tblCellMar>
        </w:tblPrEx>
        <w:trPr>
          <w:trHeight w:val="630"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721" w:type="dxa"/>
            <w:tcBorders>
              <w:top w:val="nil"/>
              <w:left w:val="nil"/>
              <w:bottom w:val="single" w:color="auto" w:sz="4" w:space="0"/>
              <w:right w:val="single" w:color="auto" w:sz="4" w:space="0"/>
            </w:tcBorders>
            <w:noWrap/>
            <w:vAlign w:val="center"/>
          </w:tcPr>
          <w:p>
            <w:pPr>
              <w:widowControl/>
              <w:jc w:val="center"/>
              <w:rPr>
                <w:color w:val="000000" w:themeColor="text1"/>
                <w:sz w:val="21"/>
                <w:szCs w:val="21"/>
                <w14:textFill>
                  <w14:solidFill>
                    <w14:schemeClr w14:val="tx1"/>
                  </w14:solidFill>
                </w14:textFill>
              </w:rPr>
            </w:pPr>
            <w:r>
              <w:rPr>
                <w:rFonts w:hint="eastAsia" w:ascii="宋体" w:hAnsi="宋体"/>
                <w:sz w:val="21"/>
                <w:szCs w:val="21"/>
              </w:rPr>
              <w:t>试剂盒组分</w:t>
            </w:r>
          </w:p>
        </w:tc>
        <w:tc>
          <w:tcPr>
            <w:tcW w:w="6629" w:type="dxa"/>
            <w:tcBorders>
              <w:top w:val="nil"/>
              <w:left w:val="nil"/>
              <w:bottom w:val="single" w:color="auto" w:sz="4" w:space="0"/>
              <w:right w:val="single" w:color="auto" w:sz="4" w:space="0"/>
            </w:tcBorders>
            <w:noWrap/>
            <w:vAlign w:val="center"/>
          </w:tcPr>
          <w:p>
            <w:pPr>
              <w:widowControl/>
              <w:rPr>
                <w:color w:val="000000" w:themeColor="text1"/>
                <w:sz w:val="21"/>
                <w:szCs w:val="21"/>
                <w14:textFill>
                  <w14:solidFill>
                    <w14:schemeClr w14:val="tx1"/>
                  </w14:solidFill>
                </w14:textFill>
              </w:rPr>
            </w:pPr>
            <w:r>
              <w:rPr>
                <w:rFonts w:hint="eastAsia" w:ascii="宋体" w:hAnsi="宋体"/>
                <w:sz w:val="21"/>
                <w:szCs w:val="21"/>
              </w:rPr>
              <w:t>试剂板、试剂管、滴头、样本抽提液、说明书、操作示意卡、立架、合格证。</w:t>
            </w:r>
          </w:p>
        </w:tc>
      </w:tr>
      <w:tr>
        <w:tblPrEx>
          <w:tblLayout w:type="fixed"/>
          <w:tblCellMar>
            <w:top w:w="0" w:type="dxa"/>
            <w:left w:w="108" w:type="dxa"/>
            <w:bottom w:w="0" w:type="dxa"/>
            <w:right w:w="108" w:type="dxa"/>
          </w:tblCellMar>
        </w:tblPrEx>
        <w:trPr>
          <w:trHeight w:val="630"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1721"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hAnsi="宋体" w:cs="宋体"/>
                <w:sz w:val="21"/>
                <w:szCs w:val="21"/>
              </w:rPr>
              <w:t>测定范围</w:t>
            </w:r>
          </w:p>
        </w:tc>
        <w:tc>
          <w:tcPr>
            <w:tcW w:w="6629" w:type="dxa"/>
            <w:tcBorders>
              <w:top w:val="nil"/>
              <w:left w:val="nil"/>
              <w:bottom w:val="single" w:color="auto" w:sz="4" w:space="0"/>
              <w:right w:val="single" w:color="auto" w:sz="4" w:space="0"/>
            </w:tcBorders>
            <w:noWrap/>
            <w:vAlign w:val="center"/>
          </w:tcPr>
          <w:p>
            <w:pPr>
              <w:widowControl/>
              <w:rPr>
                <w:rFonts w:ascii="宋体" w:cs="宋体"/>
                <w:sz w:val="21"/>
                <w:szCs w:val="21"/>
              </w:rPr>
            </w:pPr>
            <w:r>
              <w:rPr>
                <w:rFonts w:hint="eastAsia" w:ascii="宋体" w:cs="宋体"/>
                <w:sz w:val="21"/>
                <w:szCs w:val="21"/>
              </w:rPr>
              <w:t>最小检测灵敏度为</w:t>
            </w:r>
            <w:r>
              <w:rPr>
                <w:rFonts w:hint="eastAsia"/>
                <w:sz w:val="21"/>
                <w:szCs w:val="21"/>
              </w:rPr>
              <w:t>7.81×</w:t>
            </w:r>
            <w:r>
              <w:rPr>
                <w:sz w:val="21"/>
                <w:szCs w:val="21"/>
              </w:rPr>
              <w:t>10</w:t>
            </w:r>
            <w:r>
              <w:rPr>
                <w:rFonts w:hint="eastAsia"/>
                <w:position w:val="8"/>
                <w:sz w:val="21"/>
                <w:szCs w:val="21"/>
                <w:vertAlign w:val="superscript"/>
              </w:rPr>
              <w:t>3</w:t>
            </w:r>
            <w:r>
              <w:rPr>
                <w:position w:val="8"/>
                <w:sz w:val="21"/>
                <w:szCs w:val="21"/>
                <w:vertAlign w:val="superscript"/>
              </w:rPr>
              <w:t xml:space="preserve"> </w:t>
            </w:r>
            <w:r>
              <w:rPr>
                <w:rFonts w:hint="eastAsia"/>
                <w:sz w:val="21"/>
                <w:szCs w:val="21"/>
              </w:rPr>
              <w:t>CFU</w:t>
            </w:r>
            <w:r>
              <w:rPr>
                <w:position w:val="-8"/>
                <w:sz w:val="21"/>
                <w:szCs w:val="21"/>
                <w:vertAlign w:val="subscript"/>
              </w:rPr>
              <w:t xml:space="preserve"> </w:t>
            </w:r>
            <w:r>
              <w:rPr>
                <w:sz w:val="21"/>
                <w:szCs w:val="21"/>
              </w:rPr>
              <w:t xml:space="preserve">/ </w:t>
            </w:r>
            <w:r>
              <w:rPr>
                <w:rFonts w:hint="eastAsia"/>
                <w:sz w:val="21"/>
                <w:szCs w:val="21"/>
              </w:rPr>
              <w:t>ml</w:t>
            </w:r>
          </w:p>
        </w:tc>
      </w:tr>
      <w:tr>
        <w:tblPrEx>
          <w:tblLayout w:type="fixed"/>
          <w:tblCellMar>
            <w:top w:w="0" w:type="dxa"/>
            <w:left w:w="108" w:type="dxa"/>
            <w:bottom w:w="0" w:type="dxa"/>
            <w:right w:w="108" w:type="dxa"/>
          </w:tblCellMar>
        </w:tblPrEx>
        <w:trPr>
          <w:trHeight w:val="555"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721"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cs="宋体"/>
                <w:sz w:val="21"/>
                <w:szCs w:val="21"/>
              </w:rPr>
              <w:t>交叉反应</w:t>
            </w:r>
          </w:p>
        </w:tc>
        <w:tc>
          <w:tcPr>
            <w:tcW w:w="6629" w:type="dxa"/>
            <w:tcBorders>
              <w:top w:val="nil"/>
              <w:left w:val="nil"/>
              <w:bottom w:val="single" w:color="auto" w:sz="4" w:space="0"/>
              <w:right w:val="single" w:color="auto" w:sz="4" w:space="0"/>
            </w:tcBorders>
            <w:noWrap/>
            <w:vAlign w:val="center"/>
          </w:tcPr>
          <w:p>
            <w:pPr>
              <w:widowControl/>
              <w:rPr>
                <w:rFonts w:ascii="宋体" w:cs="宋体"/>
                <w:sz w:val="21"/>
                <w:szCs w:val="21"/>
              </w:rPr>
            </w:pPr>
          </w:p>
        </w:tc>
      </w:tr>
      <w:tr>
        <w:tblPrEx>
          <w:tblLayout w:type="fixed"/>
          <w:tblCellMar>
            <w:top w:w="0" w:type="dxa"/>
            <w:left w:w="108" w:type="dxa"/>
            <w:bottom w:w="0" w:type="dxa"/>
            <w:right w:w="108" w:type="dxa"/>
          </w:tblCellMar>
        </w:tblPrEx>
        <w:trPr>
          <w:trHeight w:val="555"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.1</w:t>
            </w:r>
          </w:p>
        </w:tc>
        <w:tc>
          <w:tcPr>
            <w:tcW w:w="1721"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cs="宋体"/>
                <w:sz w:val="21"/>
                <w:szCs w:val="21"/>
              </w:rPr>
              <w:t>病毒</w:t>
            </w:r>
          </w:p>
        </w:tc>
        <w:tc>
          <w:tcPr>
            <w:tcW w:w="6629" w:type="dxa"/>
            <w:tcBorders>
              <w:top w:val="nil"/>
              <w:left w:val="nil"/>
              <w:bottom w:val="single" w:color="auto" w:sz="4" w:space="0"/>
              <w:right w:val="single" w:color="auto" w:sz="4" w:space="0"/>
            </w:tcBorders>
            <w:noWrap/>
            <w:vAlign w:val="center"/>
          </w:tcPr>
          <w:p>
            <w:pPr>
              <w:pStyle w:val="217"/>
              <w:jc w:val="both"/>
              <w:rPr>
                <w:sz w:val="21"/>
                <w:szCs w:val="21"/>
              </w:rPr>
            </w:pPr>
            <w:r>
              <w:rPr>
                <w:rFonts w:hint="eastAsia"/>
                <w:sz w:val="21"/>
                <w:szCs w:val="21"/>
              </w:rPr>
              <w:t>与以下病毒没有交叉反应。甲型流感病毒H1N1、甲型流感病毒H3N2、流感病毒B型、副流感1、副流感2、副流感3、腺病毒3型、腺病毒6型、腮腺炎、轮状病毒、麻疹、呼吸道合胞病毒Long株。</w:t>
            </w:r>
          </w:p>
        </w:tc>
      </w:tr>
      <w:tr>
        <w:tblPrEx>
          <w:tblLayout w:type="fixed"/>
          <w:tblCellMar>
            <w:top w:w="0" w:type="dxa"/>
            <w:left w:w="108" w:type="dxa"/>
            <w:bottom w:w="0" w:type="dxa"/>
            <w:right w:w="108" w:type="dxa"/>
          </w:tblCellMar>
        </w:tblPrEx>
        <w:trPr>
          <w:trHeight w:val="555"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.2</w:t>
            </w:r>
          </w:p>
        </w:tc>
        <w:tc>
          <w:tcPr>
            <w:tcW w:w="1721"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cs="宋体"/>
                <w:sz w:val="21"/>
                <w:szCs w:val="21"/>
              </w:rPr>
              <w:t>衣原体</w:t>
            </w:r>
          </w:p>
        </w:tc>
        <w:tc>
          <w:tcPr>
            <w:tcW w:w="6629" w:type="dxa"/>
            <w:tcBorders>
              <w:top w:val="nil"/>
              <w:left w:val="nil"/>
              <w:bottom w:val="single" w:color="auto" w:sz="4" w:space="0"/>
              <w:right w:val="single" w:color="auto" w:sz="4" w:space="0"/>
            </w:tcBorders>
            <w:noWrap/>
            <w:vAlign w:val="center"/>
          </w:tcPr>
          <w:p>
            <w:pPr>
              <w:widowControl/>
              <w:rPr>
                <w:rFonts w:ascii="宋体" w:cs="宋体"/>
                <w:sz w:val="21"/>
                <w:szCs w:val="21"/>
              </w:rPr>
            </w:pPr>
            <w:r>
              <w:rPr>
                <w:rFonts w:hint="eastAsia"/>
                <w:sz w:val="21"/>
                <w:szCs w:val="21"/>
              </w:rPr>
              <w:t>与以下衣原体没有交叉反应。肺炎衣原体、沙眼衣原体。</w:t>
            </w:r>
          </w:p>
        </w:tc>
      </w:tr>
      <w:tr>
        <w:tblPrEx>
          <w:tblLayout w:type="fixed"/>
          <w:tblCellMar>
            <w:top w:w="0" w:type="dxa"/>
            <w:left w:w="108" w:type="dxa"/>
            <w:bottom w:w="0" w:type="dxa"/>
            <w:right w:w="108" w:type="dxa"/>
          </w:tblCellMar>
        </w:tblPrEx>
        <w:trPr>
          <w:trHeight w:val="555" w:hRule="atLeast"/>
          <w:jc w:val="center"/>
        </w:trPr>
        <w:tc>
          <w:tcPr>
            <w:tcW w:w="839" w:type="dxa"/>
            <w:tcBorders>
              <w:top w:val="nil"/>
              <w:left w:val="single" w:color="auto" w:sz="8" w:space="0"/>
              <w:bottom w:val="single" w:color="auto" w:sz="4" w:space="0"/>
              <w:right w:val="single" w:color="auto" w:sz="4" w:space="0"/>
            </w:tcBorders>
            <w:noWrap/>
            <w:vAlign w:val="center"/>
          </w:tcPr>
          <w:p>
            <w:pPr>
              <w:widowControl/>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.3</w:t>
            </w:r>
          </w:p>
        </w:tc>
        <w:tc>
          <w:tcPr>
            <w:tcW w:w="1721" w:type="dxa"/>
            <w:tcBorders>
              <w:top w:val="nil"/>
              <w:left w:val="nil"/>
              <w:bottom w:val="single" w:color="auto" w:sz="4" w:space="0"/>
              <w:right w:val="single" w:color="auto" w:sz="4" w:space="0"/>
            </w:tcBorders>
            <w:noWrap/>
            <w:vAlign w:val="center"/>
          </w:tcPr>
          <w:p>
            <w:pPr>
              <w:widowControl/>
              <w:jc w:val="center"/>
              <w:rPr>
                <w:rFonts w:ascii="宋体" w:cs="宋体"/>
                <w:sz w:val="21"/>
                <w:szCs w:val="21"/>
              </w:rPr>
            </w:pPr>
            <w:r>
              <w:rPr>
                <w:rFonts w:hint="eastAsia" w:ascii="宋体" w:cs="宋体"/>
                <w:sz w:val="21"/>
                <w:szCs w:val="21"/>
              </w:rPr>
              <w:t>细菌</w:t>
            </w:r>
          </w:p>
        </w:tc>
        <w:tc>
          <w:tcPr>
            <w:tcW w:w="6629" w:type="dxa"/>
            <w:tcBorders>
              <w:top w:val="nil"/>
              <w:left w:val="nil"/>
              <w:bottom w:val="single" w:color="auto" w:sz="4" w:space="0"/>
              <w:right w:val="single" w:color="auto" w:sz="4" w:space="0"/>
            </w:tcBorders>
            <w:noWrap/>
            <w:vAlign w:val="center"/>
          </w:tcPr>
          <w:p>
            <w:pPr>
              <w:widowControl/>
              <w:rPr>
                <w:sz w:val="21"/>
                <w:szCs w:val="21"/>
              </w:rPr>
            </w:pPr>
            <w:r>
              <w:rPr>
                <w:rFonts w:hint="eastAsia"/>
                <w:sz w:val="21"/>
                <w:szCs w:val="21"/>
              </w:rPr>
              <w:t>与以下细菌没有交叉反应。大肠埃希菌、绿脓杆菌、卡他布兰汉菌、粪肠球菌、柠檬酸杆菌、金黄色葡萄球菌、克雷伯氏肺炎杆菌、小肠结肠炎耶尔森菌、副溶血弧菌、福氏志贺菌、脆弱拟杆菌、牛结核分枝杆菌、结核分枝杆菌、鸟分枝杆菌、肠炎沙门菌、猿猴分枝杆菌、龟分枝杆菌、空肠弯曲菌。</w:t>
            </w:r>
          </w:p>
        </w:tc>
      </w:tr>
    </w:tbl>
    <w:p>
      <w:pPr>
        <w:numPr>
          <w:ilvl w:val="0"/>
          <w:numId w:val="12"/>
        </w:numPr>
        <w:spacing w:line="360" w:lineRule="auto"/>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包件六：</w:t>
      </w:r>
    </w:p>
    <w:p>
      <w:pPr>
        <w:pStyle w:val="56"/>
        <w:numPr>
          <w:ilvl w:val="0"/>
          <w:numId w:val="13"/>
        </w:numPr>
        <w:spacing w:line="360" w:lineRule="auto"/>
        <w:ind w:left="-420" w:leftChars="0" w:firstLine="420" w:firstLineChars="0"/>
        <w:rPr>
          <w:rFonts w:hint="eastAsia" w:ascii="宋体" w:hAnsi="宋体" w:eastAsia="宋体"/>
          <w:b w:val="0"/>
          <w:bCs w:val="0"/>
          <w:sz w:val="24"/>
          <w:szCs w:val="24"/>
          <w:lang w:val="en-US" w:eastAsia="zh-CN"/>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b w:val="0"/>
          <w:bCs w:val="0"/>
          <w:sz w:val="24"/>
          <w:szCs w:val="24"/>
          <w:lang w:val="en-US" w:eastAsia="zh-CN"/>
        </w:rPr>
        <w:t>：病原体和感染因子类的检测相关试剂</w:t>
      </w:r>
    </w:p>
    <w:p>
      <w:pPr>
        <w:pStyle w:val="56"/>
        <w:numPr>
          <w:ilvl w:val="0"/>
          <w:numId w:val="1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1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13"/>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13"/>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tbl>
      <w:tblPr>
        <w:tblStyle w:val="32"/>
        <w:tblW w:w="9114" w:type="dxa"/>
        <w:tblInd w:w="0" w:type="dxa"/>
        <w:tblLayout w:type="fixed"/>
        <w:tblCellMar>
          <w:top w:w="0" w:type="dxa"/>
          <w:left w:w="108" w:type="dxa"/>
          <w:bottom w:w="0" w:type="dxa"/>
          <w:right w:w="108" w:type="dxa"/>
        </w:tblCellMar>
      </w:tblPr>
      <w:tblGrid>
        <w:gridCol w:w="714"/>
        <w:gridCol w:w="1438"/>
        <w:gridCol w:w="6962"/>
      </w:tblGrid>
      <w:tr>
        <w:tblPrEx>
          <w:tblLayout w:type="fixed"/>
          <w:tblCellMar>
            <w:top w:w="0" w:type="dxa"/>
            <w:left w:w="108" w:type="dxa"/>
            <w:bottom w:w="0" w:type="dxa"/>
            <w:right w:w="108" w:type="dxa"/>
          </w:tblCellMar>
        </w:tblPrEx>
        <w:trPr>
          <w:trHeight w:val="368"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一、</w:t>
            </w:r>
          </w:p>
        </w:tc>
        <w:tc>
          <w:tcPr>
            <w:tcW w:w="8400"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rPr>
              <w:t>丙型肝炎病毒核心抗原检测试剂盒</w:t>
            </w:r>
          </w:p>
        </w:tc>
      </w:tr>
      <w:tr>
        <w:tblPrEx>
          <w:tblLayout w:type="fixed"/>
          <w:tblCellMar>
            <w:top w:w="0" w:type="dxa"/>
            <w:left w:w="108" w:type="dxa"/>
            <w:bottom w:w="0" w:type="dxa"/>
            <w:right w:w="108" w:type="dxa"/>
          </w:tblCellMar>
        </w:tblPrEx>
        <w:trPr>
          <w:trHeight w:val="368"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lang w:val="en-US" w:eastAsia="zh-CN"/>
              </w:rPr>
            </w:pPr>
            <w:r>
              <w:rPr>
                <w:rFonts w:hint="eastAsia" w:ascii="宋体" w:hAnsi="宋体" w:eastAsia="宋体" w:cs="宋体"/>
                <w:sz w:val="24"/>
              </w:rPr>
              <w:t>序号</w:t>
            </w:r>
          </w:p>
        </w:tc>
        <w:tc>
          <w:tcPr>
            <w:tcW w:w="143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名称</w:t>
            </w:r>
          </w:p>
        </w:tc>
        <w:tc>
          <w:tcPr>
            <w:tcW w:w="696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lang w:eastAsia="zh-CN"/>
              </w:rPr>
            </w:pPr>
            <w:r>
              <w:rPr>
                <w:rFonts w:hint="eastAsia" w:ascii="宋体" w:hAnsi="宋体" w:eastAsia="宋体" w:cs="宋体"/>
                <w:sz w:val="24"/>
                <w:lang w:val="en-US" w:eastAsia="zh-CN"/>
              </w:rPr>
              <w:t>参数</w:t>
            </w:r>
          </w:p>
        </w:tc>
      </w:tr>
      <w:tr>
        <w:tblPrEx>
          <w:tblLayout w:type="fixed"/>
          <w:tblCellMar>
            <w:top w:w="0" w:type="dxa"/>
            <w:left w:w="108" w:type="dxa"/>
            <w:bottom w:w="0" w:type="dxa"/>
            <w:right w:w="108" w:type="dxa"/>
          </w:tblCellMar>
        </w:tblPrEx>
        <w:trPr>
          <w:trHeight w:val="76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1</w:t>
            </w:r>
          </w:p>
        </w:tc>
        <w:tc>
          <w:tcPr>
            <w:tcW w:w="143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用途</w:t>
            </w:r>
          </w:p>
        </w:tc>
        <w:tc>
          <w:tcPr>
            <w:tcW w:w="6962"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sz w:val="24"/>
              </w:rPr>
              <w:t>定性检测人血清或血浆样本丙型肝炎病毒核心抗原，用于丙肝病毒感染疑似病例的筛查及诊断。</w:t>
            </w:r>
          </w:p>
        </w:tc>
      </w:tr>
      <w:tr>
        <w:tblPrEx>
          <w:tblLayout w:type="fixed"/>
          <w:tblCellMar>
            <w:top w:w="0" w:type="dxa"/>
            <w:left w:w="108" w:type="dxa"/>
            <w:bottom w:w="0" w:type="dxa"/>
            <w:right w:w="108" w:type="dxa"/>
          </w:tblCellMar>
        </w:tblPrEx>
        <w:trPr>
          <w:trHeight w:val="324"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3</w:t>
            </w:r>
          </w:p>
        </w:tc>
        <w:tc>
          <w:tcPr>
            <w:tcW w:w="143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sz w:val="24"/>
              </w:rPr>
              <w:t>有效期</w:t>
            </w:r>
          </w:p>
        </w:tc>
        <w:tc>
          <w:tcPr>
            <w:tcW w:w="6962"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sz w:val="24"/>
              </w:rPr>
              <w:t>≥12个月</w:t>
            </w:r>
          </w:p>
        </w:tc>
      </w:tr>
      <w:tr>
        <w:tblPrEx>
          <w:tblLayout w:type="fixed"/>
          <w:tblCellMar>
            <w:top w:w="0" w:type="dxa"/>
            <w:left w:w="108" w:type="dxa"/>
            <w:bottom w:w="0" w:type="dxa"/>
            <w:right w:w="108" w:type="dxa"/>
          </w:tblCellMar>
        </w:tblPrEx>
        <w:trPr>
          <w:trHeight w:val="324"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4</w:t>
            </w:r>
          </w:p>
        </w:tc>
        <w:tc>
          <w:tcPr>
            <w:tcW w:w="143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sz w:val="24"/>
              </w:rPr>
              <w:t>样本类型</w:t>
            </w:r>
          </w:p>
        </w:tc>
        <w:tc>
          <w:tcPr>
            <w:tcW w:w="6962"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sz w:val="24"/>
              </w:rPr>
              <w:t>血浆和血浆</w:t>
            </w:r>
          </w:p>
        </w:tc>
      </w:tr>
      <w:tr>
        <w:tblPrEx>
          <w:tblLayout w:type="fixed"/>
          <w:tblCellMar>
            <w:top w:w="0" w:type="dxa"/>
            <w:left w:w="108" w:type="dxa"/>
            <w:bottom w:w="0" w:type="dxa"/>
            <w:right w:w="108" w:type="dxa"/>
          </w:tblCellMar>
        </w:tblPrEx>
        <w:trPr>
          <w:trHeight w:val="324"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5</w:t>
            </w:r>
          </w:p>
        </w:tc>
        <w:tc>
          <w:tcPr>
            <w:tcW w:w="143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sz w:val="24"/>
              </w:rPr>
              <w:t>方法学</w:t>
            </w:r>
          </w:p>
        </w:tc>
        <w:tc>
          <w:tcPr>
            <w:tcW w:w="6962"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sz w:val="24"/>
              </w:rPr>
              <w:t>酶联免疫法（双抗夹心法）</w:t>
            </w:r>
          </w:p>
        </w:tc>
      </w:tr>
      <w:tr>
        <w:tblPrEx>
          <w:tblLayout w:type="fixed"/>
          <w:tblCellMar>
            <w:top w:w="0" w:type="dxa"/>
            <w:left w:w="108" w:type="dxa"/>
            <w:bottom w:w="0" w:type="dxa"/>
            <w:right w:w="108" w:type="dxa"/>
          </w:tblCellMar>
        </w:tblPrEx>
        <w:trPr>
          <w:trHeight w:val="324"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7</w:t>
            </w:r>
          </w:p>
        </w:tc>
        <w:tc>
          <w:tcPr>
            <w:tcW w:w="143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sz w:val="24"/>
              </w:rPr>
              <w:t>溯源要求</w:t>
            </w:r>
          </w:p>
        </w:tc>
        <w:tc>
          <w:tcPr>
            <w:tcW w:w="6962"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rPr>
              <w:t>试剂盒有国家条码中心批准的条码</w:t>
            </w:r>
          </w:p>
        </w:tc>
      </w:tr>
      <w:tr>
        <w:tblPrEx>
          <w:tblLayout w:type="fixed"/>
          <w:tblCellMar>
            <w:top w:w="0" w:type="dxa"/>
            <w:left w:w="108" w:type="dxa"/>
            <w:bottom w:w="0" w:type="dxa"/>
            <w:right w:w="108" w:type="dxa"/>
          </w:tblCellMar>
        </w:tblPrEx>
        <w:trPr>
          <w:trHeight w:val="634"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8</w:t>
            </w:r>
          </w:p>
        </w:tc>
        <w:tc>
          <w:tcPr>
            <w:tcW w:w="143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sz w:val="24"/>
              </w:rPr>
              <w:t>检测范围</w:t>
            </w:r>
          </w:p>
        </w:tc>
        <w:tc>
          <w:tcPr>
            <w:tcW w:w="6962"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sz w:val="24"/>
              </w:rPr>
              <w:t>全抗原（游离的核心抗原+抗原抗体复合物中的抗原）</w:t>
            </w:r>
          </w:p>
        </w:tc>
      </w:tr>
      <w:tr>
        <w:tblPrEx>
          <w:tblLayout w:type="fixed"/>
          <w:tblCellMar>
            <w:top w:w="0" w:type="dxa"/>
            <w:left w:w="108" w:type="dxa"/>
            <w:bottom w:w="0" w:type="dxa"/>
            <w:right w:w="108" w:type="dxa"/>
          </w:tblCellMar>
        </w:tblPrEx>
        <w:trPr>
          <w:trHeight w:val="582"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9</w:t>
            </w:r>
          </w:p>
        </w:tc>
        <w:tc>
          <w:tcPr>
            <w:tcW w:w="143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sz w:val="24"/>
              </w:rPr>
              <w:t>检测系统</w:t>
            </w:r>
          </w:p>
        </w:tc>
        <w:tc>
          <w:tcPr>
            <w:tcW w:w="6962"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rPr>
              <w:t>HRP-TMB系统，多聚酶联放大技术提高灵敏度</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10</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sz w:val="24"/>
              </w:rPr>
              <w:t>质控准确度</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sz w:val="24"/>
              </w:rPr>
              <w:t>100%</w:t>
            </w:r>
          </w:p>
        </w:tc>
      </w:tr>
      <w:tr>
        <w:tblPrEx>
          <w:tblLayout w:type="fixed"/>
          <w:tblCellMar>
            <w:top w:w="0" w:type="dxa"/>
            <w:left w:w="108" w:type="dxa"/>
            <w:bottom w:w="0" w:type="dxa"/>
            <w:right w:w="108" w:type="dxa"/>
          </w:tblCellMar>
        </w:tblPrEx>
        <w:trPr>
          <w:trHeight w:val="678"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11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sz w:val="24"/>
              </w:rPr>
              <w:t>精密度</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sz w:val="24"/>
              </w:rPr>
              <w:t>CV≤15%</w:t>
            </w:r>
          </w:p>
        </w:tc>
      </w:tr>
      <w:tr>
        <w:tblPrEx>
          <w:tblLayout w:type="fixed"/>
          <w:tblCellMar>
            <w:top w:w="0" w:type="dxa"/>
            <w:left w:w="108" w:type="dxa"/>
            <w:bottom w:w="0" w:type="dxa"/>
            <w:right w:w="108" w:type="dxa"/>
          </w:tblCellMar>
        </w:tblPrEx>
        <w:trPr>
          <w:trHeight w:val="539"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二、</w:t>
            </w:r>
          </w:p>
        </w:tc>
        <w:tc>
          <w:tcPr>
            <w:tcW w:w="8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肝素结合蛋白测定试剂盒</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名称</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参数</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设用途</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体外定量检测人血浆中的肝素结合蛋白（HBP）的浓度，HBP血浆浓度升高与重度脓毒症和脓毒性休克的严重程度相关。</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有效期</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≥12个月</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4</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样本类型</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血浆（枸橼酸钠抗凝）</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5</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线性范围</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5.90ng/mL~300.00ng/mL，相关系数r≥0.9900。</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6</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重复性</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CV≤10.0%。</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7</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批间差</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CV≤15.0%。</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8</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抗干扰能力</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血浆中潜在干扰物质血红蛋白＜4.0mg/mL、甘油三酯＜8.5 mg/mL（26.94mmol/L）、胆红素＜0.2 mg/mL（34.2μmol/L）对检测结果没有明显影响。</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9</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运输条件</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要求具有冷链运输。</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三、</w:t>
            </w:r>
          </w:p>
        </w:tc>
        <w:tc>
          <w:tcPr>
            <w:tcW w:w="8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结核分歧杆菌特异性细胞免疫反应检测试剂盒</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名称</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技术规格</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设用途</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体外定量检测人血浆中的肝素结合蛋白（HBP）的浓度，HBP血浆浓度升高与重度脓毒症和脓毒性休克的严重程度相关。</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有效期</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≥12个月</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4</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样本类型</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血浆（枸橼酸钠抗凝）</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5</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线性范围</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5.90ng/mL~300.00ng/mL，相关系数r≥0.9900。</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6</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重复性</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CV≤10.0%。</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7</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批间差</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CV≤15.0%。</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8</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抗干扰能力</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血浆中潜在干扰物质血红蛋白＜4.0mg/mL、甘油三酯＜8.5 mg/mL（26.94mmol/L）、胆红素＜0.2 mg/mL（34.2μmol/L）对检测结果没有明显影响。</w:t>
            </w:r>
          </w:p>
        </w:tc>
      </w:tr>
      <w:tr>
        <w:tblPrEx>
          <w:tblLayout w:type="fixed"/>
          <w:tblCellMar>
            <w:top w:w="0" w:type="dxa"/>
            <w:left w:w="108" w:type="dxa"/>
            <w:bottom w:w="0" w:type="dxa"/>
            <w:right w:w="108" w:type="dxa"/>
          </w:tblCellMar>
        </w:tblPrEx>
        <w:trPr>
          <w:trHeight w:val="324"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9</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运输条件</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sz w:val="24"/>
              </w:rPr>
              <w:t>要求具有冷链运输。</w:t>
            </w:r>
          </w:p>
        </w:tc>
      </w:tr>
    </w:tbl>
    <w:p>
      <w:pPr>
        <w:numPr>
          <w:ilvl w:val="0"/>
          <w:numId w:val="0"/>
        </w:numPr>
        <w:spacing w:line="360" w:lineRule="auto"/>
        <w:rPr>
          <w:rFonts w:hint="default" w:ascii="宋体" w:hAnsi="宋体" w:eastAsia="宋体" w:cs="宋体"/>
          <w:sz w:val="24"/>
          <w:szCs w:val="24"/>
          <w:lang w:val="en-US" w:eastAsia="zh-CN"/>
        </w:rPr>
      </w:pP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包件七：</w:t>
      </w:r>
    </w:p>
    <w:p>
      <w:pPr>
        <w:pStyle w:val="56"/>
        <w:numPr>
          <w:ilvl w:val="0"/>
          <w:numId w:val="1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val="en-US" w:eastAsia="zh-CN"/>
        </w:rPr>
        <w:t>：</w:t>
      </w:r>
      <w:r>
        <w:rPr>
          <w:rFonts w:hint="eastAsia" w:ascii="宋体" w:hAnsi="宋体" w:eastAsia="宋体"/>
          <w:b w:val="0"/>
          <w:bCs w:val="0"/>
          <w:sz w:val="24"/>
          <w:szCs w:val="24"/>
          <w:highlight w:val="none"/>
          <w:lang w:val="en-US" w:eastAsia="zh-CN"/>
        </w:rPr>
        <w:t>血糖试条</w:t>
      </w:r>
    </w:p>
    <w:p>
      <w:pPr>
        <w:pStyle w:val="56"/>
        <w:numPr>
          <w:ilvl w:val="0"/>
          <w:numId w:val="1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1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15"/>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15"/>
        </w:numPr>
        <w:spacing w:line="360" w:lineRule="auto"/>
        <w:ind w:left="-420" w:leftChars="0" w:firstLine="420" w:firstLineChars="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技术指标要求</w:t>
      </w:r>
      <w:r>
        <w:rPr>
          <w:rFonts w:hint="eastAsia" w:ascii="宋体" w:hAnsi="宋体" w:eastAsia="宋体" w:cs="宋体"/>
          <w:b w:val="0"/>
          <w:bCs w:val="0"/>
          <w:sz w:val="21"/>
          <w:szCs w:val="21"/>
          <w:lang w:eastAsia="zh-CN"/>
        </w:rPr>
        <w:t>：</w:t>
      </w:r>
    </w:p>
    <w:p>
      <w:pPr>
        <w:pStyle w:val="18"/>
        <w:numPr>
          <w:ilvl w:val="0"/>
          <w:numId w:val="16"/>
        </w:numPr>
        <w:spacing w:line="360" w:lineRule="auto"/>
        <w:ind w:left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★投标人需响应医院SPD项目相关要求,并与上药医疗供应链管理(上海)有限公司签署相关SPD协议。</w:t>
      </w:r>
    </w:p>
    <w:p>
      <w:pPr>
        <w:pStyle w:val="18"/>
        <w:numPr>
          <w:ilvl w:val="0"/>
          <w:numId w:val="16"/>
        </w:numPr>
        <w:spacing w:line="360" w:lineRule="auto"/>
        <w:ind w:leftChars="0"/>
        <w:rPr>
          <w:rFonts w:hint="eastAsia" w:ascii="宋体" w:hAnsi="宋体" w:eastAsia="宋体" w:cs="宋体"/>
          <w:sz w:val="22"/>
          <w:szCs w:val="22"/>
        </w:rPr>
      </w:pPr>
      <w:r>
        <w:rPr>
          <w:rFonts w:hint="eastAsia" w:ascii="宋体" w:hAnsi="宋体" w:eastAsia="宋体" w:cs="宋体"/>
          <w:color w:val="000000"/>
          <w:sz w:val="22"/>
          <w:szCs w:val="22"/>
        </w:rPr>
        <w:t>检测范围:1.1</w:t>
      </w:r>
      <w:r>
        <w:rPr>
          <w:rFonts w:hint="eastAsia" w:ascii="宋体" w:hAnsi="宋体" w:eastAsia="宋体" w:cs="宋体"/>
          <w:color w:val="000000"/>
          <w:spacing w:val="-2"/>
          <w:sz w:val="22"/>
          <w:szCs w:val="22"/>
        </w:rPr>
        <w:t>m</w:t>
      </w:r>
      <w:r>
        <w:rPr>
          <w:rFonts w:hint="eastAsia" w:ascii="宋体" w:hAnsi="宋体" w:eastAsia="宋体" w:cs="宋体"/>
          <w:color w:val="000000"/>
          <w:sz w:val="22"/>
          <w:szCs w:val="22"/>
        </w:rPr>
        <w:t>m</w:t>
      </w:r>
      <w:r>
        <w:rPr>
          <w:rFonts w:hint="eastAsia" w:ascii="宋体" w:hAnsi="宋体" w:eastAsia="宋体" w:cs="宋体"/>
          <w:color w:val="000000"/>
          <w:spacing w:val="-2"/>
          <w:sz w:val="22"/>
          <w:szCs w:val="22"/>
        </w:rPr>
        <w:t>o</w:t>
      </w:r>
      <w:r>
        <w:rPr>
          <w:rFonts w:hint="eastAsia" w:ascii="宋体" w:hAnsi="宋体" w:eastAsia="宋体" w:cs="宋体"/>
          <w:color w:val="000000"/>
          <w:sz w:val="22"/>
          <w:szCs w:val="22"/>
        </w:rPr>
        <w:t>l</w:t>
      </w:r>
      <w:r>
        <w:rPr>
          <w:rFonts w:hint="eastAsia" w:ascii="宋体" w:hAnsi="宋体" w:eastAsia="宋体" w:cs="宋体"/>
          <w:color w:val="000000"/>
          <w:spacing w:val="-2"/>
          <w:sz w:val="22"/>
          <w:szCs w:val="22"/>
        </w:rPr>
        <w:t>/l</w:t>
      </w:r>
      <w:r>
        <w:rPr>
          <w:rFonts w:hint="eastAsia" w:ascii="宋体" w:hAnsi="宋体" w:eastAsia="宋体" w:cs="宋体"/>
          <w:color w:val="000000"/>
          <w:sz w:val="22"/>
          <w:szCs w:val="22"/>
        </w:rPr>
        <w:t>-33</w:t>
      </w:r>
      <w:r>
        <w:rPr>
          <w:rFonts w:hint="eastAsia" w:ascii="宋体" w:hAnsi="宋体" w:eastAsia="宋体" w:cs="宋体"/>
          <w:color w:val="000000"/>
          <w:spacing w:val="2"/>
          <w:sz w:val="22"/>
          <w:szCs w:val="22"/>
        </w:rPr>
        <w:t>.</w:t>
      </w:r>
      <w:r>
        <w:rPr>
          <w:rFonts w:hint="eastAsia" w:ascii="宋体" w:hAnsi="宋体" w:eastAsia="宋体" w:cs="宋体"/>
          <w:color w:val="000000"/>
          <w:sz w:val="22"/>
          <w:szCs w:val="22"/>
        </w:rPr>
        <w:t>3</w:t>
      </w:r>
      <w:r>
        <w:rPr>
          <w:rFonts w:hint="eastAsia" w:ascii="宋体" w:hAnsi="宋体" w:eastAsia="宋体" w:cs="宋体"/>
          <w:color w:val="000000"/>
          <w:spacing w:val="-2"/>
          <w:sz w:val="22"/>
          <w:szCs w:val="22"/>
        </w:rPr>
        <w:t>m</w:t>
      </w:r>
      <w:r>
        <w:rPr>
          <w:rFonts w:hint="eastAsia" w:ascii="宋体" w:hAnsi="宋体" w:eastAsia="宋体" w:cs="宋体"/>
          <w:color w:val="000000"/>
          <w:sz w:val="22"/>
          <w:szCs w:val="22"/>
        </w:rPr>
        <w:t>mol/</w:t>
      </w:r>
      <w:r>
        <w:rPr>
          <w:rFonts w:hint="eastAsia" w:ascii="宋体" w:hAnsi="宋体" w:eastAsia="宋体" w:cs="宋体"/>
          <w:color w:val="000000"/>
          <w:spacing w:val="-2"/>
          <w:sz w:val="22"/>
          <w:szCs w:val="22"/>
        </w:rPr>
        <w:t>l</w:t>
      </w:r>
    </w:p>
    <w:p>
      <w:pPr>
        <w:pStyle w:val="18"/>
        <w:numPr>
          <w:ilvl w:val="0"/>
          <w:numId w:val="16"/>
        </w:numPr>
        <w:spacing w:line="360" w:lineRule="auto"/>
        <w:ind w:leftChars="0"/>
        <w:rPr>
          <w:rFonts w:hint="eastAsia" w:ascii="宋体" w:hAnsi="宋体" w:eastAsia="宋体" w:cs="宋体"/>
          <w:sz w:val="22"/>
          <w:szCs w:val="22"/>
        </w:rPr>
      </w:pPr>
      <w:r>
        <w:rPr>
          <w:rFonts w:hint="eastAsia" w:ascii="宋体" w:hAnsi="宋体" w:eastAsia="宋体" w:cs="宋体"/>
          <w:color w:val="000000"/>
          <w:sz w:val="22"/>
          <w:szCs w:val="22"/>
        </w:rPr>
        <w:t>试纸检</w:t>
      </w:r>
      <w:r>
        <w:rPr>
          <w:rFonts w:hint="eastAsia" w:ascii="宋体" w:hAnsi="宋体" w:eastAsia="宋体" w:cs="宋体"/>
          <w:color w:val="000000"/>
          <w:spacing w:val="-2"/>
          <w:sz w:val="22"/>
          <w:szCs w:val="22"/>
        </w:rPr>
        <w:t>测</w:t>
      </w:r>
      <w:r>
        <w:rPr>
          <w:rFonts w:hint="eastAsia" w:ascii="宋体" w:hAnsi="宋体" w:eastAsia="宋体" w:cs="宋体"/>
          <w:color w:val="000000"/>
          <w:sz w:val="22"/>
          <w:szCs w:val="22"/>
        </w:rPr>
        <w:t>方法</w:t>
      </w:r>
      <w:r>
        <w:rPr>
          <w:rFonts w:hint="eastAsia" w:ascii="宋体" w:hAnsi="宋体" w:eastAsia="宋体" w:cs="宋体"/>
          <w:color w:val="000000"/>
          <w:spacing w:val="-4"/>
          <w:sz w:val="22"/>
          <w:szCs w:val="22"/>
        </w:rPr>
        <w:t>：</w:t>
      </w:r>
      <w:r>
        <w:rPr>
          <w:rFonts w:hint="eastAsia" w:ascii="宋体" w:hAnsi="宋体" w:eastAsia="宋体" w:cs="宋体"/>
          <w:color w:val="000000"/>
          <w:spacing w:val="-2"/>
          <w:sz w:val="22"/>
          <w:szCs w:val="22"/>
        </w:rPr>
        <w:t>葡</w:t>
      </w:r>
      <w:r>
        <w:rPr>
          <w:rFonts w:hint="eastAsia" w:ascii="宋体" w:hAnsi="宋体" w:eastAsia="宋体" w:cs="宋体"/>
          <w:color w:val="000000"/>
          <w:sz w:val="22"/>
          <w:szCs w:val="22"/>
        </w:rPr>
        <w:t>萄糖脱</w:t>
      </w:r>
      <w:r>
        <w:rPr>
          <w:rFonts w:hint="eastAsia" w:ascii="宋体" w:hAnsi="宋体" w:eastAsia="宋体" w:cs="宋体"/>
          <w:color w:val="000000"/>
          <w:spacing w:val="-2"/>
          <w:sz w:val="22"/>
          <w:szCs w:val="22"/>
        </w:rPr>
        <w:t>氢</w:t>
      </w:r>
      <w:r>
        <w:rPr>
          <w:rFonts w:hint="eastAsia" w:ascii="宋体" w:hAnsi="宋体" w:eastAsia="宋体" w:cs="宋体"/>
          <w:color w:val="000000"/>
          <w:sz w:val="22"/>
          <w:szCs w:val="22"/>
        </w:rPr>
        <w:t>酶</w:t>
      </w:r>
      <w:r>
        <w:rPr>
          <w:rFonts w:hint="eastAsia" w:ascii="宋体" w:hAnsi="宋体" w:eastAsia="宋体" w:cs="宋体"/>
          <w:color w:val="000000"/>
          <w:spacing w:val="-2"/>
          <w:sz w:val="22"/>
          <w:szCs w:val="22"/>
        </w:rPr>
        <w:t>法</w:t>
      </w:r>
      <w:r>
        <w:rPr>
          <w:rFonts w:hint="eastAsia" w:ascii="宋体" w:hAnsi="宋体" w:eastAsia="宋体" w:cs="宋体"/>
          <w:color w:val="000000"/>
          <w:spacing w:val="1"/>
          <w:sz w:val="22"/>
          <w:szCs w:val="22"/>
        </w:rPr>
        <w:t xml:space="preserve"> </w:t>
      </w:r>
    </w:p>
    <w:p>
      <w:pPr>
        <w:pStyle w:val="18"/>
        <w:numPr>
          <w:ilvl w:val="0"/>
          <w:numId w:val="16"/>
        </w:numPr>
        <w:spacing w:line="360" w:lineRule="auto"/>
        <w:ind w:leftChars="0"/>
        <w:rPr>
          <w:rFonts w:hint="eastAsia" w:ascii="宋体" w:hAnsi="宋体" w:eastAsia="宋体" w:cs="宋体"/>
          <w:sz w:val="22"/>
          <w:szCs w:val="22"/>
        </w:rPr>
      </w:pPr>
      <w:r>
        <w:rPr>
          <w:rFonts w:hint="eastAsia" w:ascii="宋体" w:hAnsi="宋体" w:eastAsia="宋体" w:cs="宋体"/>
          <w:color w:val="000000"/>
          <w:sz w:val="22"/>
          <w:szCs w:val="22"/>
        </w:rPr>
        <w:t>保质期</w:t>
      </w:r>
      <w:r>
        <w:rPr>
          <w:rFonts w:hint="eastAsia" w:ascii="宋体" w:hAnsi="宋体" w:eastAsia="宋体" w:cs="宋体"/>
          <w:color w:val="000000"/>
          <w:spacing w:val="-2"/>
          <w:sz w:val="22"/>
          <w:szCs w:val="22"/>
        </w:rPr>
        <w:t>：</w:t>
      </w:r>
      <w:r>
        <w:rPr>
          <w:rFonts w:hint="eastAsia" w:ascii="宋体" w:hAnsi="宋体" w:eastAsia="宋体" w:cs="宋体"/>
          <w:color w:val="000000"/>
          <w:sz w:val="22"/>
          <w:szCs w:val="22"/>
        </w:rPr>
        <w:t>未</w:t>
      </w:r>
      <w:r>
        <w:rPr>
          <w:rFonts w:hint="eastAsia" w:ascii="宋体" w:hAnsi="宋体" w:eastAsia="宋体" w:cs="宋体"/>
          <w:color w:val="000000"/>
          <w:sz w:val="22"/>
          <w:szCs w:val="22"/>
          <w:lang w:val="en-US" w:eastAsia="zh-CN"/>
        </w:rPr>
        <w:t>开封状态≥12个月</w:t>
      </w:r>
    </w:p>
    <w:p>
      <w:pPr>
        <w:pStyle w:val="18"/>
        <w:numPr>
          <w:ilvl w:val="0"/>
          <w:numId w:val="16"/>
        </w:numPr>
        <w:spacing w:line="360" w:lineRule="auto"/>
        <w:ind w:leftChars="0"/>
        <w:rPr>
          <w:rFonts w:hint="eastAsia" w:ascii="宋体" w:hAnsi="宋体" w:eastAsia="宋体" w:cs="宋体"/>
          <w:sz w:val="22"/>
          <w:szCs w:val="22"/>
        </w:rPr>
      </w:pPr>
      <w:r>
        <w:rPr>
          <w:rFonts w:hint="eastAsia" w:ascii="宋体" w:hAnsi="宋体" w:eastAsia="宋体" w:cs="宋体"/>
          <w:color w:val="000000"/>
          <w:sz w:val="22"/>
          <w:szCs w:val="22"/>
        </w:rPr>
        <w:t>储存条</w:t>
      </w:r>
      <w:r>
        <w:rPr>
          <w:rFonts w:hint="eastAsia" w:ascii="宋体" w:hAnsi="宋体" w:eastAsia="宋体" w:cs="宋体"/>
          <w:color w:val="000000"/>
          <w:spacing w:val="-2"/>
          <w:sz w:val="22"/>
          <w:szCs w:val="22"/>
        </w:rPr>
        <w:t>件</w:t>
      </w:r>
      <w:r>
        <w:rPr>
          <w:rFonts w:hint="eastAsia" w:ascii="宋体" w:hAnsi="宋体" w:eastAsia="宋体" w:cs="宋体"/>
          <w:color w:val="000000"/>
          <w:sz w:val="22"/>
          <w:szCs w:val="22"/>
        </w:rPr>
        <w:t>：相</w:t>
      </w:r>
      <w:r>
        <w:rPr>
          <w:rFonts w:hint="eastAsia" w:ascii="宋体" w:hAnsi="宋体" w:eastAsia="宋体" w:cs="宋体"/>
          <w:color w:val="000000"/>
          <w:spacing w:val="-4"/>
          <w:sz w:val="22"/>
          <w:szCs w:val="22"/>
        </w:rPr>
        <w:t>对</w:t>
      </w:r>
      <w:r>
        <w:rPr>
          <w:rFonts w:hint="eastAsia" w:ascii="宋体" w:hAnsi="宋体" w:eastAsia="宋体" w:cs="宋体"/>
          <w:color w:val="000000"/>
          <w:spacing w:val="-2"/>
          <w:sz w:val="22"/>
          <w:szCs w:val="22"/>
        </w:rPr>
        <w:t>湿</w:t>
      </w:r>
      <w:r>
        <w:rPr>
          <w:rFonts w:hint="eastAsia" w:ascii="宋体" w:hAnsi="宋体" w:eastAsia="宋体" w:cs="宋体"/>
          <w:color w:val="000000"/>
          <w:spacing w:val="70"/>
          <w:sz w:val="22"/>
          <w:szCs w:val="22"/>
        </w:rPr>
        <w:t>度</w:t>
      </w:r>
      <w:r>
        <w:rPr>
          <w:rFonts w:hint="eastAsia" w:ascii="宋体" w:hAnsi="宋体" w:eastAsia="宋体" w:cs="宋体"/>
          <w:color w:val="000000"/>
          <w:sz w:val="22"/>
          <w:szCs w:val="22"/>
        </w:rPr>
        <w:t>65</w:t>
      </w:r>
      <w:r>
        <w:rPr>
          <w:rFonts w:hint="eastAsia" w:ascii="宋体" w:hAnsi="宋体" w:eastAsia="宋体" w:cs="宋体"/>
          <w:color w:val="000000"/>
          <w:spacing w:val="2"/>
          <w:sz w:val="22"/>
          <w:szCs w:val="22"/>
        </w:rPr>
        <w:t>%</w:t>
      </w:r>
      <w:r>
        <w:rPr>
          <w:rFonts w:hint="eastAsia" w:ascii="宋体" w:hAnsi="宋体" w:eastAsia="宋体" w:cs="宋体"/>
          <w:color w:val="000000"/>
          <w:spacing w:val="2"/>
          <w:sz w:val="22"/>
          <w:szCs w:val="22"/>
          <w:lang w:eastAsia="zh-CN"/>
        </w:rPr>
        <w:t>（</w:t>
      </w:r>
      <w:r>
        <w:rPr>
          <w:rFonts w:hint="eastAsia" w:ascii="宋体" w:hAnsi="宋体" w:eastAsia="宋体" w:cs="宋体"/>
          <w:color w:val="000000"/>
          <w:spacing w:val="2"/>
          <w:sz w:val="22"/>
          <w:szCs w:val="22"/>
          <w:lang w:val="en-US" w:eastAsia="zh-CN"/>
        </w:rPr>
        <w:t>±2%</w:t>
      </w:r>
      <w:r>
        <w:rPr>
          <w:rFonts w:hint="eastAsia" w:ascii="宋体" w:hAnsi="宋体" w:eastAsia="宋体" w:cs="宋体"/>
          <w:color w:val="000000"/>
          <w:spacing w:val="2"/>
          <w:sz w:val="22"/>
          <w:szCs w:val="22"/>
          <w:lang w:eastAsia="zh-CN"/>
        </w:rPr>
        <w:t>）</w:t>
      </w:r>
      <w:r>
        <w:rPr>
          <w:rFonts w:hint="eastAsia" w:ascii="宋体" w:hAnsi="宋体" w:eastAsia="宋体" w:cs="宋体"/>
          <w:color w:val="000000"/>
          <w:sz w:val="22"/>
          <w:szCs w:val="22"/>
        </w:rPr>
        <w:t>、温</w:t>
      </w:r>
      <w:r>
        <w:rPr>
          <w:rFonts w:hint="eastAsia" w:ascii="宋体" w:hAnsi="宋体" w:eastAsia="宋体" w:cs="宋体"/>
          <w:color w:val="000000"/>
          <w:spacing w:val="70"/>
          <w:sz w:val="22"/>
          <w:szCs w:val="22"/>
        </w:rPr>
        <w:t>度</w:t>
      </w:r>
      <w:r>
        <w:rPr>
          <w:rFonts w:hint="eastAsia" w:ascii="宋体" w:hAnsi="宋体" w:eastAsia="宋体" w:cs="宋体"/>
          <w:color w:val="000000"/>
          <w:sz w:val="22"/>
          <w:szCs w:val="22"/>
        </w:rPr>
        <w:t>4℃~</w:t>
      </w:r>
      <w:r>
        <w:rPr>
          <w:rFonts w:hint="eastAsia" w:ascii="宋体" w:hAnsi="宋体" w:eastAsia="宋体" w:cs="宋体"/>
          <w:color w:val="000000"/>
          <w:spacing w:val="-4"/>
          <w:sz w:val="22"/>
          <w:szCs w:val="22"/>
        </w:rPr>
        <w:t>3</w:t>
      </w:r>
      <w:r>
        <w:rPr>
          <w:rFonts w:hint="eastAsia" w:ascii="宋体" w:hAnsi="宋体" w:eastAsia="宋体" w:cs="宋体"/>
          <w:color w:val="000000"/>
          <w:sz w:val="22"/>
          <w:szCs w:val="22"/>
        </w:rPr>
        <w:t>5</w:t>
      </w:r>
      <w:r>
        <w:rPr>
          <w:rFonts w:hint="eastAsia" w:ascii="宋体" w:hAnsi="宋体" w:eastAsia="宋体" w:cs="宋体"/>
          <w:color w:val="000000"/>
          <w:spacing w:val="-2"/>
          <w:sz w:val="22"/>
          <w:szCs w:val="22"/>
        </w:rPr>
        <w:t>℃</w:t>
      </w:r>
      <w:r>
        <w:rPr>
          <w:rFonts w:hint="eastAsia" w:ascii="宋体" w:hAnsi="宋体" w:eastAsia="宋体" w:cs="宋体"/>
          <w:color w:val="000000"/>
          <w:spacing w:val="1"/>
          <w:sz w:val="22"/>
          <w:szCs w:val="22"/>
        </w:rPr>
        <w:t xml:space="preserve"> </w:t>
      </w:r>
    </w:p>
    <w:p>
      <w:pPr>
        <w:pStyle w:val="18"/>
        <w:numPr>
          <w:ilvl w:val="0"/>
          <w:numId w:val="16"/>
        </w:numPr>
        <w:spacing w:line="360" w:lineRule="auto"/>
        <w:ind w:leftChars="0"/>
        <w:rPr>
          <w:rFonts w:hint="eastAsia" w:ascii="宋体" w:hAnsi="宋体" w:eastAsia="宋体" w:cs="宋体"/>
          <w:sz w:val="22"/>
          <w:szCs w:val="22"/>
        </w:rPr>
      </w:pPr>
      <w:r>
        <w:rPr>
          <w:rFonts w:hint="eastAsia" w:ascii="宋体" w:hAnsi="宋体" w:eastAsia="宋体" w:cs="宋体"/>
          <w:color w:val="000000"/>
          <w:sz w:val="22"/>
          <w:szCs w:val="22"/>
        </w:rPr>
        <w:t>采血量</w:t>
      </w:r>
      <w:r>
        <w:rPr>
          <w:rFonts w:hint="eastAsia" w:ascii="宋体" w:hAnsi="宋体" w:eastAsia="宋体" w:cs="宋体"/>
          <w:color w:val="000000"/>
          <w:spacing w:val="-2"/>
          <w:sz w:val="22"/>
          <w:szCs w:val="22"/>
        </w:rPr>
        <w:t>：</w:t>
      </w:r>
      <w:r>
        <w:rPr>
          <w:rFonts w:hint="eastAsia" w:ascii="宋体" w:hAnsi="宋体" w:eastAsia="宋体" w:cs="宋体"/>
          <w:color w:val="000000"/>
          <w:sz w:val="22"/>
          <w:szCs w:val="22"/>
        </w:rPr>
        <w:t>≤</w:t>
      </w:r>
      <w:r>
        <w:rPr>
          <w:rFonts w:hint="eastAsia" w:ascii="宋体" w:hAnsi="宋体" w:eastAsia="宋体" w:cs="宋体"/>
          <w:color w:val="000000"/>
          <w:spacing w:val="70"/>
          <w:sz w:val="22"/>
          <w:szCs w:val="22"/>
        </w:rPr>
        <w:t>1</w:t>
      </w:r>
      <w:r>
        <w:rPr>
          <w:rFonts w:hint="eastAsia" w:ascii="宋体" w:hAnsi="宋体" w:eastAsia="宋体" w:cs="宋体"/>
          <w:color w:val="000000"/>
          <w:sz w:val="22"/>
          <w:szCs w:val="22"/>
        </w:rPr>
        <w:t>微</w:t>
      </w:r>
      <w:r>
        <w:rPr>
          <w:rFonts w:hint="eastAsia" w:ascii="宋体" w:hAnsi="宋体" w:eastAsia="宋体" w:cs="宋体"/>
          <w:color w:val="000000"/>
          <w:spacing w:val="-4"/>
          <w:sz w:val="22"/>
          <w:szCs w:val="22"/>
        </w:rPr>
        <w:t>升</w:t>
      </w:r>
      <w:r>
        <w:rPr>
          <w:rFonts w:hint="eastAsia" w:ascii="宋体" w:hAnsi="宋体" w:eastAsia="宋体" w:cs="宋体"/>
          <w:color w:val="000000"/>
          <w:spacing w:val="1"/>
          <w:sz w:val="22"/>
          <w:szCs w:val="22"/>
        </w:rPr>
        <w:t xml:space="preserve"> </w:t>
      </w:r>
    </w:p>
    <w:p>
      <w:pPr>
        <w:pStyle w:val="18"/>
        <w:numPr>
          <w:ilvl w:val="0"/>
          <w:numId w:val="16"/>
        </w:numPr>
        <w:spacing w:line="360" w:lineRule="auto"/>
        <w:ind w:leftChars="0"/>
        <w:rPr>
          <w:rFonts w:hint="eastAsia" w:ascii="宋体" w:hAnsi="宋体" w:eastAsia="宋体" w:cs="宋体"/>
          <w:sz w:val="22"/>
          <w:szCs w:val="22"/>
        </w:rPr>
      </w:pPr>
      <w:r>
        <w:rPr>
          <w:rFonts w:hint="eastAsia" w:ascii="宋体" w:hAnsi="宋体" w:eastAsia="宋体" w:cs="宋体"/>
          <w:color w:val="000000"/>
          <w:sz w:val="22"/>
          <w:szCs w:val="22"/>
        </w:rPr>
        <w:t>检测时</w:t>
      </w:r>
      <w:r>
        <w:rPr>
          <w:rFonts w:hint="eastAsia" w:ascii="宋体" w:hAnsi="宋体" w:eastAsia="宋体" w:cs="宋体"/>
          <w:color w:val="000000"/>
          <w:spacing w:val="-2"/>
          <w:sz w:val="22"/>
          <w:szCs w:val="22"/>
        </w:rPr>
        <w:t>间</w:t>
      </w:r>
      <w:r>
        <w:rPr>
          <w:rFonts w:hint="eastAsia" w:ascii="宋体" w:hAnsi="宋体" w:eastAsia="宋体" w:cs="宋体"/>
          <w:color w:val="000000"/>
          <w:sz w:val="22"/>
          <w:szCs w:val="22"/>
        </w:rPr>
        <w:t>：</w:t>
      </w:r>
      <w:r>
        <w:rPr>
          <w:rFonts w:hint="eastAsia" w:ascii="宋体" w:hAnsi="宋体" w:eastAsia="宋体" w:cs="宋体"/>
          <w:color w:val="000000"/>
          <w:spacing w:val="2"/>
          <w:sz w:val="22"/>
          <w:szCs w:val="22"/>
        </w:rPr>
        <w:t>≤</w:t>
      </w:r>
      <w:r>
        <w:rPr>
          <w:rFonts w:hint="eastAsia" w:ascii="宋体" w:hAnsi="宋体" w:eastAsia="宋体" w:cs="宋体"/>
          <w:color w:val="000000"/>
          <w:spacing w:val="-2"/>
          <w:sz w:val="22"/>
          <w:szCs w:val="22"/>
        </w:rPr>
        <w:t>6S</w:t>
      </w:r>
      <w:r>
        <w:rPr>
          <w:rFonts w:hint="eastAsia" w:ascii="宋体" w:hAnsi="宋体" w:eastAsia="宋体" w:cs="宋体"/>
          <w:color w:val="000000"/>
          <w:spacing w:val="1"/>
          <w:sz w:val="22"/>
          <w:szCs w:val="22"/>
        </w:rPr>
        <w:t xml:space="preserve"> </w:t>
      </w:r>
    </w:p>
    <w:p>
      <w:pPr>
        <w:pStyle w:val="18"/>
        <w:numPr>
          <w:ilvl w:val="0"/>
          <w:numId w:val="16"/>
        </w:numPr>
        <w:spacing w:line="360" w:lineRule="auto"/>
        <w:ind w:leftChars="0"/>
        <w:rPr>
          <w:rFonts w:hint="eastAsia" w:ascii="宋体" w:hAnsi="宋体" w:eastAsia="宋体" w:cs="宋体"/>
          <w:sz w:val="22"/>
          <w:szCs w:val="22"/>
        </w:rPr>
      </w:pPr>
      <w:r>
        <w:rPr>
          <w:rFonts w:hint="eastAsia" w:ascii="宋体" w:hAnsi="宋体" w:eastAsia="宋体" w:cs="宋体"/>
          <w:color w:val="000000"/>
          <w:sz w:val="22"/>
          <w:szCs w:val="22"/>
        </w:rPr>
        <w:t>红细胞</w:t>
      </w:r>
      <w:r>
        <w:rPr>
          <w:rFonts w:hint="eastAsia" w:ascii="宋体" w:hAnsi="宋体" w:eastAsia="宋体" w:cs="宋体"/>
          <w:color w:val="000000"/>
          <w:spacing w:val="-2"/>
          <w:sz w:val="22"/>
          <w:szCs w:val="22"/>
        </w:rPr>
        <w:t>压</w:t>
      </w:r>
      <w:r>
        <w:rPr>
          <w:rFonts w:hint="eastAsia" w:ascii="宋体" w:hAnsi="宋体" w:eastAsia="宋体" w:cs="宋体"/>
          <w:color w:val="000000"/>
          <w:sz w:val="22"/>
          <w:szCs w:val="22"/>
        </w:rPr>
        <w:t>积率：3</w:t>
      </w:r>
      <w:r>
        <w:rPr>
          <w:rFonts w:hint="eastAsia" w:ascii="宋体" w:hAnsi="宋体" w:eastAsia="宋体" w:cs="宋体"/>
          <w:color w:val="000000"/>
          <w:spacing w:val="-2"/>
          <w:sz w:val="22"/>
          <w:szCs w:val="22"/>
        </w:rPr>
        <w:t>0%</w:t>
      </w:r>
      <w:r>
        <w:rPr>
          <w:rFonts w:hint="eastAsia" w:ascii="宋体" w:hAnsi="宋体" w:eastAsia="宋体" w:cs="宋体"/>
          <w:color w:val="000000"/>
          <w:sz w:val="22"/>
          <w:szCs w:val="22"/>
        </w:rPr>
        <w:t>-60</w:t>
      </w:r>
      <w:r>
        <w:rPr>
          <w:rFonts w:hint="eastAsia" w:ascii="宋体" w:hAnsi="宋体" w:eastAsia="宋体" w:cs="宋体"/>
          <w:color w:val="000000"/>
          <w:spacing w:val="-2"/>
          <w:sz w:val="22"/>
          <w:szCs w:val="22"/>
        </w:rPr>
        <w:t>%</w:t>
      </w:r>
      <w:r>
        <w:rPr>
          <w:rFonts w:hint="eastAsia" w:ascii="宋体" w:hAnsi="宋体" w:eastAsia="宋体" w:cs="宋体"/>
          <w:color w:val="000000"/>
          <w:spacing w:val="1"/>
          <w:sz w:val="22"/>
          <w:szCs w:val="22"/>
        </w:rPr>
        <w:t xml:space="preserve"> </w:t>
      </w:r>
    </w:p>
    <w:p>
      <w:pPr>
        <w:pStyle w:val="18"/>
        <w:numPr>
          <w:ilvl w:val="0"/>
          <w:numId w:val="16"/>
        </w:numPr>
        <w:spacing w:line="360" w:lineRule="auto"/>
        <w:ind w:leftChars="0"/>
        <w:rPr>
          <w:rFonts w:hint="eastAsia" w:ascii="宋体" w:hAnsi="宋体" w:eastAsia="宋体" w:cs="宋体"/>
          <w:sz w:val="22"/>
          <w:szCs w:val="22"/>
        </w:rPr>
      </w:pPr>
      <w:r>
        <w:rPr>
          <w:rFonts w:hint="eastAsia" w:ascii="宋体" w:hAnsi="宋体" w:eastAsia="宋体" w:cs="宋体"/>
          <w:color w:val="000000"/>
          <w:sz w:val="22"/>
          <w:szCs w:val="22"/>
        </w:rPr>
        <w:t>血样要</w:t>
      </w:r>
      <w:r>
        <w:rPr>
          <w:rFonts w:hint="eastAsia" w:ascii="宋体" w:hAnsi="宋体" w:eastAsia="宋体" w:cs="宋体"/>
          <w:color w:val="000000"/>
          <w:spacing w:val="-2"/>
          <w:sz w:val="22"/>
          <w:szCs w:val="22"/>
        </w:rPr>
        <w:t>求</w:t>
      </w:r>
      <w:r>
        <w:rPr>
          <w:rFonts w:hint="eastAsia" w:ascii="宋体" w:hAnsi="宋体" w:eastAsia="宋体" w:cs="宋体"/>
          <w:color w:val="000000"/>
          <w:sz w:val="22"/>
          <w:szCs w:val="22"/>
        </w:rPr>
        <w:t>：新</w:t>
      </w:r>
      <w:r>
        <w:rPr>
          <w:rFonts w:hint="eastAsia" w:ascii="宋体" w:hAnsi="宋体" w:eastAsia="宋体" w:cs="宋体"/>
          <w:color w:val="000000"/>
          <w:spacing w:val="-4"/>
          <w:sz w:val="22"/>
          <w:szCs w:val="22"/>
        </w:rPr>
        <w:t>鲜</w:t>
      </w:r>
      <w:r>
        <w:rPr>
          <w:rFonts w:hint="eastAsia" w:ascii="宋体" w:hAnsi="宋体" w:eastAsia="宋体" w:cs="宋体"/>
          <w:color w:val="000000"/>
          <w:spacing w:val="-2"/>
          <w:sz w:val="22"/>
          <w:szCs w:val="22"/>
        </w:rPr>
        <w:t>毛</w:t>
      </w:r>
      <w:r>
        <w:rPr>
          <w:rFonts w:hint="eastAsia" w:ascii="宋体" w:hAnsi="宋体" w:eastAsia="宋体" w:cs="宋体"/>
          <w:color w:val="000000"/>
          <w:sz w:val="22"/>
          <w:szCs w:val="22"/>
        </w:rPr>
        <w:t>细血管</w:t>
      </w:r>
      <w:r>
        <w:rPr>
          <w:rFonts w:hint="eastAsia" w:ascii="宋体" w:hAnsi="宋体" w:eastAsia="宋体" w:cs="宋体"/>
          <w:color w:val="000000"/>
          <w:spacing w:val="-2"/>
          <w:sz w:val="22"/>
          <w:szCs w:val="22"/>
        </w:rPr>
        <w:t>全</w:t>
      </w:r>
      <w:r>
        <w:rPr>
          <w:rFonts w:hint="eastAsia" w:ascii="宋体" w:hAnsi="宋体" w:eastAsia="宋体" w:cs="宋体"/>
          <w:color w:val="000000"/>
          <w:sz w:val="22"/>
          <w:szCs w:val="22"/>
        </w:rPr>
        <w:t>血、</w:t>
      </w:r>
      <w:r>
        <w:rPr>
          <w:rFonts w:hint="eastAsia" w:ascii="宋体" w:hAnsi="宋体" w:eastAsia="宋体" w:cs="宋体"/>
          <w:color w:val="000000"/>
          <w:spacing w:val="-2"/>
          <w:sz w:val="22"/>
          <w:szCs w:val="22"/>
        </w:rPr>
        <w:t>新鲜</w:t>
      </w:r>
      <w:r>
        <w:rPr>
          <w:rFonts w:hint="eastAsia" w:ascii="宋体" w:hAnsi="宋体" w:eastAsia="宋体" w:cs="宋体"/>
          <w:color w:val="000000"/>
          <w:sz w:val="22"/>
          <w:szCs w:val="22"/>
        </w:rPr>
        <w:t>静脉全</w:t>
      </w:r>
      <w:r>
        <w:rPr>
          <w:rFonts w:hint="eastAsia" w:ascii="宋体" w:hAnsi="宋体" w:eastAsia="宋体" w:cs="宋体"/>
          <w:color w:val="000000"/>
          <w:spacing w:val="-2"/>
          <w:sz w:val="22"/>
          <w:szCs w:val="22"/>
        </w:rPr>
        <w:t>血</w:t>
      </w:r>
    </w:p>
    <w:p>
      <w:pPr>
        <w:pStyle w:val="18"/>
        <w:numPr>
          <w:ilvl w:val="0"/>
          <w:numId w:val="16"/>
        </w:numPr>
        <w:spacing w:line="360" w:lineRule="auto"/>
        <w:ind w:leftChars="0"/>
        <w:rPr>
          <w:rFonts w:hint="eastAsia" w:ascii="宋体" w:hAnsi="宋体" w:eastAsia="宋体" w:cs="宋体"/>
          <w:sz w:val="22"/>
          <w:szCs w:val="22"/>
        </w:rPr>
      </w:pPr>
      <w:r>
        <w:rPr>
          <w:rFonts w:hint="eastAsia" w:ascii="宋体" w:hAnsi="宋体" w:eastAsia="宋体" w:cs="宋体"/>
          <w:color w:val="000000"/>
          <w:sz w:val="22"/>
          <w:szCs w:val="22"/>
        </w:rPr>
        <w:t>使用温</w:t>
      </w:r>
      <w:r>
        <w:rPr>
          <w:rFonts w:hint="eastAsia" w:ascii="宋体" w:hAnsi="宋体" w:eastAsia="宋体" w:cs="宋体"/>
          <w:color w:val="000000"/>
          <w:spacing w:val="-2"/>
          <w:sz w:val="22"/>
          <w:szCs w:val="22"/>
        </w:rPr>
        <w:t>度</w:t>
      </w:r>
      <w:r>
        <w:rPr>
          <w:rFonts w:hint="eastAsia" w:ascii="宋体" w:hAnsi="宋体" w:eastAsia="宋体" w:cs="宋体"/>
          <w:color w:val="000000"/>
          <w:sz w:val="22"/>
          <w:szCs w:val="22"/>
        </w:rPr>
        <w:t>为</w:t>
      </w:r>
      <w:r>
        <w:rPr>
          <w:rFonts w:hint="eastAsia" w:ascii="宋体" w:hAnsi="宋体" w:eastAsia="宋体" w:cs="宋体"/>
          <w:color w:val="000000"/>
          <w:spacing w:val="2"/>
          <w:sz w:val="22"/>
          <w:szCs w:val="22"/>
        </w:rPr>
        <w:t>：</w:t>
      </w:r>
      <w:r>
        <w:rPr>
          <w:rFonts w:hint="eastAsia" w:ascii="宋体" w:hAnsi="宋体" w:eastAsia="宋体" w:cs="宋体"/>
          <w:color w:val="000000"/>
          <w:spacing w:val="-2"/>
          <w:sz w:val="22"/>
          <w:szCs w:val="22"/>
        </w:rPr>
        <w:t>5</w:t>
      </w:r>
      <w:r>
        <w:rPr>
          <w:rFonts w:hint="eastAsia" w:ascii="宋体" w:hAnsi="宋体" w:eastAsia="宋体" w:cs="宋体"/>
          <w:color w:val="000000"/>
          <w:sz w:val="22"/>
          <w:szCs w:val="22"/>
        </w:rPr>
        <w:t>℃~</w:t>
      </w:r>
      <w:r>
        <w:rPr>
          <w:rFonts w:hint="eastAsia" w:ascii="宋体" w:hAnsi="宋体" w:eastAsia="宋体" w:cs="宋体"/>
          <w:color w:val="000000"/>
          <w:spacing w:val="-4"/>
          <w:sz w:val="22"/>
          <w:szCs w:val="22"/>
        </w:rPr>
        <w:t>4</w:t>
      </w:r>
      <w:r>
        <w:rPr>
          <w:rFonts w:hint="eastAsia" w:ascii="宋体" w:hAnsi="宋体" w:eastAsia="宋体" w:cs="宋体"/>
          <w:color w:val="000000"/>
          <w:sz w:val="22"/>
          <w:szCs w:val="22"/>
        </w:rPr>
        <w:t>0℃</w:t>
      </w:r>
    </w:p>
    <w:p>
      <w:pPr>
        <w:pStyle w:val="18"/>
        <w:numPr>
          <w:ilvl w:val="0"/>
          <w:numId w:val="16"/>
        </w:numPr>
        <w:spacing w:line="360" w:lineRule="auto"/>
        <w:ind w:leftChars="0"/>
        <w:rPr>
          <w:rFonts w:hint="eastAsia" w:ascii="宋体" w:hAnsi="宋体" w:eastAsia="宋体" w:cs="宋体"/>
          <w:sz w:val="22"/>
          <w:szCs w:val="22"/>
        </w:rPr>
      </w:pPr>
      <w:r>
        <w:rPr>
          <w:rFonts w:hint="eastAsia" w:ascii="宋体" w:hAnsi="宋体" w:eastAsia="宋体" w:cs="宋体"/>
          <w:color w:val="000000"/>
          <w:sz w:val="22"/>
          <w:szCs w:val="22"/>
        </w:rPr>
        <w:t>批间差</w:t>
      </w:r>
      <w:r>
        <w:rPr>
          <w:rFonts w:hint="eastAsia" w:ascii="宋体" w:hAnsi="宋体" w:eastAsia="宋体" w:cs="宋体"/>
          <w:color w:val="000000"/>
          <w:spacing w:val="-2"/>
          <w:sz w:val="22"/>
          <w:szCs w:val="22"/>
        </w:rPr>
        <w:t>：</w:t>
      </w:r>
      <w:r>
        <w:rPr>
          <w:rFonts w:hint="eastAsia" w:ascii="宋体" w:hAnsi="宋体" w:eastAsia="宋体" w:cs="宋体"/>
          <w:color w:val="000000"/>
          <w:sz w:val="22"/>
          <w:szCs w:val="22"/>
        </w:rPr>
        <w:t>不同</w:t>
      </w:r>
      <w:r>
        <w:rPr>
          <w:rFonts w:hint="eastAsia" w:ascii="宋体" w:hAnsi="宋体" w:eastAsia="宋体" w:cs="宋体"/>
          <w:color w:val="000000"/>
          <w:spacing w:val="-4"/>
          <w:sz w:val="22"/>
          <w:szCs w:val="22"/>
        </w:rPr>
        <w:t>批</w:t>
      </w:r>
      <w:r>
        <w:rPr>
          <w:rFonts w:hint="eastAsia" w:ascii="宋体" w:hAnsi="宋体" w:eastAsia="宋体" w:cs="宋体"/>
          <w:color w:val="000000"/>
          <w:spacing w:val="-2"/>
          <w:sz w:val="22"/>
          <w:szCs w:val="22"/>
        </w:rPr>
        <w:t>号</w:t>
      </w:r>
      <w:r>
        <w:rPr>
          <w:rFonts w:hint="eastAsia" w:ascii="宋体" w:hAnsi="宋体" w:eastAsia="宋体" w:cs="宋体"/>
          <w:color w:val="000000"/>
          <w:sz w:val="22"/>
          <w:szCs w:val="22"/>
        </w:rPr>
        <w:t>血糖试</w:t>
      </w:r>
      <w:r>
        <w:rPr>
          <w:rFonts w:hint="eastAsia" w:ascii="宋体" w:hAnsi="宋体" w:eastAsia="宋体" w:cs="宋体"/>
          <w:color w:val="000000"/>
          <w:spacing w:val="-2"/>
          <w:sz w:val="22"/>
          <w:szCs w:val="22"/>
        </w:rPr>
        <w:t>纸</w:t>
      </w:r>
      <w:r>
        <w:rPr>
          <w:rFonts w:hint="eastAsia" w:ascii="宋体" w:hAnsi="宋体" w:eastAsia="宋体" w:cs="宋体"/>
          <w:color w:val="000000"/>
          <w:sz w:val="22"/>
          <w:szCs w:val="22"/>
        </w:rPr>
        <w:t>的批</w:t>
      </w:r>
      <w:r>
        <w:rPr>
          <w:rFonts w:hint="eastAsia" w:ascii="宋体" w:hAnsi="宋体" w:eastAsia="宋体" w:cs="宋体"/>
          <w:color w:val="000000"/>
          <w:spacing w:val="-2"/>
          <w:sz w:val="22"/>
          <w:szCs w:val="22"/>
        </w:rPr>
        <w:t>间差</w:t>
      </w:r>
      <w:r>
        <w:rPr>
          <w:rFonts w:hint="eastAsia" w:ascii="宋体" w:hAnsi="宋体" w:eastAsia="宋体" w:cs="宋体"/>
          <w:color w:val="000000"/>
          <w:spacing w:val="-2"/>
          <w:sz w:val="22"/>
          <w:szCs w:val="22"/>
          <w:lang w:val="en-US" w:eastAsia="zh-CN"/>
        </w:rPr>
        <w:t>≤</w:t>
      </w:r>
      <w:r>
        <w:rPr>
          <w:rFonts w:hint="eastAsia" w:ascii="宋体" w:hAnsi="宋体" w:eastAsia="宋体" w:cs="宋体"/>
          <w:color w:val="000000"/>
          <w:sz w:val="22"/>
          <w:szCs w:val="22"/>
        </w:rPr>
        <w:t>15</w:t>
      </w:r>
      <w:r>
        <w:rPr>
          <w:rFonts w:hint="eastAsia" w:ascii="宋体" w:hAnsi="宋体" w:eastAsia="宋体" w:cs="宋体"/>
          <w:color w:val="000000"/>
          <w:spacing w:val="-2"/>
          <w:sz w:val="22"/>
          <w:szCs w:val="22"/>
        </w:rPr>
        <w:t>％</w:t>
      </w:r>
    </w:p>
    <w:p>
      <w:pPr>
        <w:pStyle w:val="18"/>
        <w:numPr>
          <w:ilvl w:val="0"/>
          <w:numId w:val="16"/>
        </w:numPr>
        <w:spacing w:line="360" w:lineRule="auto"/>
        <w:ind w:leftChars="0"/>
        <w:rPr>
          <w:rFonts w:hint="eastAsia" w:ascii="宋体" w:hAnsi="宋体" w:eastAsia="宋体" w:cs="宋体"/>
          <w:sz w:val="22"/>
          <w:szCs w:val="22"/>
        </w:rPr>
      </w:pPr>
      <w:r>
        <w:rPr>
          <w:rFonts w:hint="eastAsia" w:ascii="宋体" w:hAnsi="宋体" w:eastAsia="宋体" w:cs="宋体"/>
          <w:color w:val="000000"/>
          <w:sz w:val="22"/>
          <w:szCs w:val="22"/>
        </w:rPr>
        <w:t>测量精</w:t>
      </w:r>
      <w:r>
        <w:rPr>
          <w:rFonts w:hint="eastAsia" w:ascii="宋体" w:hAnsi="宋体" w:eastAsia="宋体" w:cs="宋体"/>
          <w:color w:val="000000"/>
          <w:spacing w:val="-2"/>
          <w:sz w:val="22"/>
          <w:szCs w:val="22"/>
        </w:rPr>
        <w:t>度</w:t>
      </w:r>
      <w:r>
        <w:rPr>
          <w:rFonts w:hint="eastAsia" w:ascii="宋体" w:hAnsi="宋体" w:eastAsia="宋体" w:cs="宋体"/>
          <w:color w:val="000000"/>
          <w:sz w:val="22"/>
          <w:szCs w:val="22"/>
        </w:rPr>
        <w:t>：误</w:t>
      </w:r>
      <w:r>
        <w:rPr>
          <w:rFonts w:hint="eastAsia" w:ascii="宋体" w:hAnsi="宋体" w:eastAsia="宋体" w:cs="宋体"/>
          <w:color w:val="000000"/>
          <w:spacing w:val="-4"/>
          <w:sz w:val="22"/>
          <w:szCs w:val="22"/>
        </w:rPr>
        <w:t>差</w:t>
      </w:r>
      <w:r>
        <w:rPr>
          <w:rFonts w:hint="eastAsia" w:ascii="宋体" w:hAnsi="宋体" w:eastAsia="宋体" w:cs="宋体"/>
          <w:color w:val="000000"/>
          <w:spacing w:val="-2"/>
          <w:sz w:val="22"/>
          <w:szCs w:val="22"/>
        </w:rPr>
        <w:t>不</w:t>
      </w:r>
      <w:r>
        <w:rPr>
          <w:rFonts w:hint="eastAsia" w:ascii="宋体" w:hAnsi="宋体" w:eastAsia="宋体" w:cs="宋体"/>
          <w:color w:val="000000"/>
          <w:sz w:val="22"/>
          <w:szCs w:val="22"/>
        </w:rPr>
        <w:t>超过±0.3m</w:t>
      </w:r>
      <w:r>
        <w:rPr>
          <w:rFonts w:hint="eastAsia" w:ascii="宋体" w:hAnsi="宋体" w:eastAsia="宋体" w:cs="宋体"/>
          <w:color w:val="000000"/>
          <w:spacing w:val="-2"/>
          <w:sz w:val="22"/>
          <w:szCs w:val="22"/>
        </w:rPr>
        <w:t>mo</w:t>
      </w:r>
      <w:r>
        <w:rPr>
          <w:rFonts w:hint="eastAsia" w:ascii="宋体" w:hAnsi="宋体" w:eastAsia="宋体" w:cs="宋体"/>
          <w:color w:val="000000"/>
          <w:sz w:val="22"/>
          <w:szCs w:val="22"/>
        </w:rPr>
        <w:t>l/L</w:t>
      </w:r>
      <w:r>
        <w:rPr>
          <w:rFonts w:hint="eastAsia" w:ascii="宋体" w:hAnsi="宋体" w:eastAsia="宋体" w:cs="宋体"/>
          <w:color w:val="000000"/>
          <w:spacing w:val="-1"/>
          <w:sz w:val="22"/>
          <w:szCs w:val="22"/>
        </w:rPr>
        <w:t xml:space="preserve"> </w:t>
      </w: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包件八：</w:t>
      </w:r>
    </w:p>
    <w:p>
      <w:pPr>
        <w:pStyle w:val="56"/>
        <w:numPr>
          <w:ilvl w:val="0"/>
          <w:numId w:val="1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val="en-US" w:eastAsia="zh-CN"/>
        </w:rPr>
        <w:t>：荧光染色液</w:t>
      </w:r>
    </w:p>
    <w:p>
      <w:pPr>
        <w:pStyle w:val="56"/>
        <w:numPr>
          <w:ilvl w:val="0"/>
          <w:numId w:val="1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1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17"/>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17"/>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tbl>
      <w:tblPr>
        <w:tblStyle w:val="33"/>
        <w:tblW w:w="8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7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689" w:type="dxa"/>
            <w:vAlign w:val="center"/>
          </w:tcPr>
          <w:p>
            <w:pPr>
              <w:spacing w:after="0" w:line="240" w:lineRule="auto"/>
              <w:jc w:val="center"/>
              <w:rPr>
                <w:rFonts w:hint="eastAsia" w:ascii="宋体" w:hAnsi="宋体" w:eastAsia="宋体" w:cs="宋体"/>
                <w:b w:val="0"/>
                <w:bCs w:val="0"/>
                <w:lang w:eastAsia="zh-CN"/>
              </w:rPr>
            </w:pPr>
            <w:r>
              <w:rPr>
                <w:rFonts w:hint="eastAsia" w:ascii="宋体" w:hAnsi="宋体" w:eastAsia="宋体" w:cs="宋体"/>
                <w:b w:val="0"/>
                <w:bCs w:val="0"/>
                <w:lang w:val="en-US" w:eastAsia="zh-CN"/>
              </w:rPr>
              <w:t>一、</w:t>
            </w:r>
          </w:p>
        </w:tc>
        <w:tc>
          <w:tcPr>
            <w:tcW w:w="7058" w:type="dxa"/>
            <w:vAlign w:val="center"/>
          </w:tcPr>
          <w:p>
            <w:pPr>
              <w:spacing w:after="0" w:line="240" w:lineRule="auto"/>
              <w:jc w:val="center"/>
              <w:rPr>
                <w:rFonts w:hint="eastAsia" w:ascii="宋体" w:hAnsi="宋体" w:eastAsia="宋体" w:cs="宋体"/>
                <w:b w:val="0"/>
                <w:bCs w:val="0"/>
              </w:rPr>
            </w:pPr>
            <w:r>
              <w:rPr>
                <w:rFonts w:hint="eastAsia" w:ascii="宋体" w:hAnsi="宋体" w:eastAsia="宋体" w:cs="宋体"/>
                <w:b w:val="0"/>
                <w:bCs w:val="0"/>
              </w:rPr>
              <w:t>荧光染色液</w:t>
            </w:r>
            <w:r>
              <w:rPr>
                <w:rFonts w:hint="eastAsia" w:ascii="宋体" w:hAnsi="宋体" w:eastAsia="宋体" w:cs="宋体"/>
                <w:b w:val="0"/>
                <w:bCs w:val="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689" w:type="dxa"/>
            <w:vAlign w:val="center"/>
          </w:tcPr>
          <w:p>
            <w:pPr>
              <w:spacing w:after="0" w:line="240" w:lineRule="auto"/>
              <w:jc w:val="center"/>
              <w:rPr>
                <w:rFonts w:hint="eastAsia" w:ascii="宋体" w:hAnsi="宋体" w:eastAsia="宋体" w:cs="宋体"/>
                <w:b w:val="0"/>
                <w:bCs w:val="0"/>
              </w:rPr>
            </w:pPr>
            <w:r>
              <w:rPr>
                <w:rFonts w:hint="eastAsia" w:ascii="宋体" w:hAnsi="宋体" w:eastAsia="宋体" w:cs="宋体"/>
                <w:b w:val="0"/>
                <w:bCs w:val="0"/>
              </w:rPr>
              <w:t>主要组成成分</w:t>
            </w:r>
          </w:p>
        </w:tc>
        <w:tc>
          <w:tcPr>
            <w:tcW w:w="7058" w:type="dxa"/>
            <w:vAlign w:val="center"/>
          </w:tcPr>
          <w:p>
            <w:pPr>
              <w:spacing w:after="0" w:line="240" w:lineRule="auto"/>
              <w:jc w:val="left"/>
              <w:rPr>
                <w:rFonts w:hint="eastAsia" w:ascii="宋体" w:hAnsi="宋体" w:eastAsia="宋体" w:cs="宋体"/>
                <w:b w:val="0"/>
                <w:bCs w:val="0"/>
              </w:rPr>
            </w:pPr>
            <w:r>
              <w:rPr>
                <w:rFonts w:hint="eastAsia" w:ascii="宋体" w:hAnsi="宋体" w:eastAsia="宋体" w:cs="宋体"/>
                <w:b w:val="0"/>
                <w:bCs w:val="0"/>
              </w:rPr>
              <w:t>荧光染料(Sybr Green I)、磷酸二氢钠、十二水合磷酸氢二钠、氢氧化钠、甘油、防腐剂(Proclin 300)、纯化水。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689" w:type="dxa"/>
            <w:vAlign w:val="center"/>
          </w:tcPr>
          <w:p>
            <w:pPr>
              <w:spacing w:after="0" w:line="240" w:lineRule="auto"/>
              <w:jc w:val="center"/>
              <w:rPr>
                <w:rFonts w:hint="eastAsia" w:ascii="宋体" w:hAnsi="宋体" w:eastAsia="宋体" w:cs="宋体"/>
                <w:b w:val="0"/>
                <w:bCs w:val="0"/>
              </w:rPr>
            </w:pPr>
            <w:r>
              <w:rPr>
                <w:rFonts w:hint="eastAsia" w:ascii="宋体" w:hAnsi="宋体" w:eastAsia="宋体" w:cs="宋体"/>
                <w:b w:val="0"/>
                <w:bCs w:val="0"/>
              </w:rPr>
              <w:t>有效期</w:t>
            </w:r>
          </w:p>
        </w:tc>
        <w:tc>
          <w:tcPr>
            <w:tcW w:w="7058" w:type="dxa"/>
            <w:vAlign w:val="center"/>
          </w:tcPr>
          <w:p>
            <w:pPr>
              <w:spacing w:after="0" w:line="240" w:lineRule="auto"/>
              <w:jc w:val="left"/>
              <w:rPr>
                <w:rFonts w:hint="eastAsia" w:ascii="宋体" w:hAnsi="宋体" w:eastAsia="宋体" w:cs="宋体"/>
                <w:b w:val="0"/>
                <w:bCs w:val="0"/>
              </w:rPr>
            </w:pPr>
            <w:r>
              <w:rPr>
                <w:rFonts w:hint="eastAsia" w:ascii="宋体" w:hAnsi="宋体" w:eastAsia="宋体" w:cs="宋体"/>
                <w:b w:val="0"/>
                <w:bCs w:val="0"/>
              </w:rPr>
              <w:t>有效期</w:t>
            </w:r>
            <w:r>
              <w:rPr>
                <w:rFonts w:hint="eastAsia" w:ascii="宋体" w:hAnsi="宋体" w:eastAsia="宋体" w:cs="宋体"/>
                <w:b w:val="0"/>
                <w:bCs w:val="0"/>
                <w:lang w:val="en-US" w:eastAsia="zh-CN"/>
              </w:rPr>
              <w:t>≥</w:t>
            </w:r>
            <w:r>
              <w:rPr>
                <w:rFonts w:hint="eastAsia" w:ascii="宋体" w:hAnsi="宋体" w:eastAsia="宋体" w:cs="宋体"/>
                <w:b w:val="0"/>
                <w:bCs w:val="0"/>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689" w:type="dxa"/>
            <w:vAlign w:val="center"/>
          </w:tcPr>
          <w:p>
            <w:pPr>
              <w:spacing w:after="0" w:line="240" w:lineRule="auto"/>
              <w:jc w:val="center"/>
              <w:rPr>
                <w:rFonts w:hint="eastAsia" w:ascii="宋体" w:hAnsi="宋体" w:eastAsia="宋体" w:cs="宋体"/>
                <w:b w:val="0"/>
                <w:bCs w:val="0"/>
              </w:rPr>
            </w:pPr>
            <w:r>
              <w:rPr>
                <w:rFonts w:hint="eastAsia" w:ascii="宋体" w:hAnsi="宋体" w:eastAsia="宋体" w:cs="宋体"/>
                <w:b w:val="0"/>
                <w:bCs w:val="0"/>
              </w:rPr>
              <w:t>用途</w:t>
            </w:r>
          </w:p>
        </w:tc>
        <w:tc>
          <w:tcPr>
            <w:tcW w:w="7058" w:type="dxa"/>
            <w:vAlign w:val="center"/>
          </w:tcPr>
          <w:p>
            <w:pPr>
              <w:spacing w:after="0" w:line="240" w:lineRule="auto"/>
              <w:jc w:val="left"/>
              <w:rPr>
                <w:rFonts w:hint="eastAsia" w:ascii="宋体" w:hAnsi="宋体" w:eastAsia="宋体" w:cs="宋体"/>
                <w:b w:val="0"/>
                <w:bCs w:val="0"/>
              </w:rPr>
            </w:pPr>
            <w:r>
              <w:rPr>
                <w:rFonts w:hint="eastAsia" w:ascii="宋体" w:hAnsi="宋体" w:eastAsia="宋体" w:cs="宋体"/>
                <w:b w:val="0"/>
                <w:bCs w:val="0"/>
              </w:rPr>
              <w:t>样本处理用产品，用于阴道分泌物样本的荧光染色。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689" w:type="dxa"/>
            <w:vAlign w:val="center"/>
          </w:tcPr>
          <w:p>
            <w:pPr>
              <w:spacing w:after="0" w:line="240" w:lineRule="auto"/>
              <w:jc w:val="center"/>
              <w:rPr>
                <w:rFonts w:hint="eastAsia" w:ascii="宋体" w:hAnsi="宋体" w:eastAsia="宋体" w:cs="宋体"/>
                <w:b w:val="0"/>
                <w:bCs w:val="0"/>
                <w:lang w:eastAsia="zh-CN"/>
              </w:rPr>
            </w:pPr>
            <w:r>
              <w:rPr>
                <w:rFonts w:hint="eastAsia" w:ascii="宋体" w:hAnsi="宋体" w:eastAsia="宋体" w:cs="宋体"/>
                <w:b w:val="0"/>
                <w:bCs w:val="0"/>
                <w:lang w:val="en-US" w:eastAsia="zh-CN"/>
              </w:rPr>
              <w:t>二、</w:t>
            </w:r>
          </w:p>
        </w:tc>
        <w:tc>
          <w:tcPr>
            <w:tcW w:w="7058" w:type="dxa"/>
            <w:vAlign w:val="center"/>
          </w:tcPr>
          <w:p>
            <w:pPr>
              <w:spacing w:after="0" w:line="240" w:lineRule="auto"/>
              <w:jc w:val="center"/>
              <w:rPr>
                <w:rFonts w:hint="eastAsia" w:ascii="宋体" w:hAnsi="宋体" w:eastAsia="宋体" w:cs="宋体"/>
                <w:b w:val="0"/>
                <w:bCs w:val="0"/>
                <w:lang w:val="en-US" w:eastAsia="zh-CN"/>
              </w:rPr>
            </w:pPr>
            <w:r>
              <w:rPr>
                <w:rFonts w:hint="eastAsia" w:ascii="宋体" w:hAnsi="宋体" w:eastAsia="宋体" w:cs="宋体"/>
                <w:b w:val="0"/>
                <w:bCs w:val="0"/>
              </w:rPr>
              <w:t>荧光染色液</w:t>
            </w:r>
            <w:r>
              <w:rPr>
                <w:rFonts w:hint="eastAsia" w:ascii="宋体" w:hAnsi="宋体" w:eastAsia="宋体" w:cs="宋体"/>
                <w:b w:val="0"/>
                <w:bCs w:val="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1689" w:type="dxa"/>
            <w:vAlign w:val="center"/>
          </w:tcPr>
          <w:p>
            <w:pPr>
              <w:spacing w:after="0" w:line="240" w:lineRule="auto"/>
              <w:jc w:val="center"/>
              <w:rPr>
                <w:rFonts w:hint="eastAsia" w:ascii="宋体" w:hAnsi="宋体" w:eastAsia="宋体" w:cs="宋体"/>
                <w:b w:val="0"/>
                <w:bCs w:val="0"/>
              </w:rPr>
            </w:pPr>
            <w:r>
              <w:rPr>
                <w:rFonts w:hint="eastAsia" w:ascii="宋体" w:hAnsi="宋体" w:eastAsia="宋体" w:cs="宋体"/>
                <w:b w:val="0"/>
                <w:bCs w:val="0"/>
              </w:rPr>
              <w:t>主要组成成分</w:t>
            </w:r>
          </w:p>
        </w:tc>
        <w:tc>
          <w:tcPr>
            <w:tcW w:w="7058" w:type="dxa"/>
            <w:vAlign w:val="center"/>
          </w:tcPr>
          <w:p>
            <w:pPr>
              <w:spacing w:after="0" w:line="240" w:lineRule="auto"/>
              <w:jc w:val="left"/>
              <w:rPr>
                <w:rFonts w:hint="eastAsia" w:ascii="宋体" w:hAnsi="宋体" w:eastAsia="宋体" w:cs="宋体"/>
                <w:b w:val="0"/>
                <w:bCs w:val="0"/>
              </w:rPr>
            </w:pPr>
            <w:r>
              <w:rPr>
                <w:rFonts w:hint="eastAsia" w:ascii="宋体" w:hAnsi="宋体" w:eastAsia="宋体" w:cs="宋体"/>
                <w:b w:val="0"/>
                <w:bCs w:val="0"/>
              </w:rPr>
              <w:t>荧光染料(多甲藻黄素-叶绿素-蛋白质复合物，PerCP)、乙酸、乙酸钠、甲基绿、防腐剂(Proclin300)、纯化水。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689" w:type="dxa"/>
            <w:vAlign w:val="center"/>
          </w:tcPr>
          <w:p>
            <w:pPr>
              <w:spacing w:after="0" w:line="240" w:lineRule="auto"/>
              <w:jc w:val="center"/>
              <w:rPr>
                <w:rFonts w:hint="eastAsia" w:ascii="宋体" w:hAnsi="宋体" w:eastAsia="宋体" w:cs="宋体"/>
                <w:b w:val="0"/>
                <w:bCs w:val="0"/>
              </w:rPr>
            </w:pPr>
            <w:r>
              <w:rPr>
                <w:rFonts w:hint="eastAsia" w:ascii="宋体" w:hAnsi="宋体" w:eastAsia="宋体" w:cs="宋体"/>
                <w:b w:val="0"/>
                <w:bCs w:val="0"/>
              </w:rPr>
              <w:t>有效期</w:t>
            </w:r>
          </w:p>
        </w:tc>
        <w:tc>
          <w:tcPr>
            <w:tcW w:w="7058" w:type="dxa"/>
            <w:vAlign w:val="center"/>
          </w:tcPr>
          <w:p>
            <w:pPr>
              <w:spacing w:after="0" w:line="240" w:lineRule="auto"/>
              <w:jc w:val="left"/>
              <w:rPr>
                <w:rFonts w:hint="eastAsia" w:ascii="宋体" w:hAnsi="宋体" w:eastAsia="宋体" w:cs="宋体"/>
                <w:b w:val="0"/>
                <w:bCs w:val="0"/>
              </w:rPr>
            </w:pPr>
            <w:r>
              <w:rPr>
                <w:rFonts w:hint="eastAsia" w:ascii="宋体" w:hAnsi="宋体" w:eastAsia="宋体" w:cs="宋体"/>
                <w:b w:val="0"/>
                <w:bCs w:val="0"/>
              </w:rPr>
              <w:t>有效期</w:t>
            </w:r>
            <w:r>
              <w:rPr>
                <w:rFonts w:hint="eastAsia" w:ascii="宋体" w:hAnsi="宋体" w:eastAsia="宋体" w:cs="宋体"/>
                <w:b w:val="0"/>
                <w:bCs w:val="0"/>
                <w:lang w:val="en-US" w:eastAsia="zh-CN"/>
              </w:rPr>
              <w:t>≥</w:t>
            </w:r>
            <w:r>
              <w:rPr>
                <w:rFonts w:hint="eastAsia" w:ascii="宋体" w:hAnsi="宋体" w:eastAsia="宋体" w:cs="宋体"/>
                <w:b w:val="0"/>
                <w:bCs w:val="0"/>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689" w:type="dxa"/>
            <w:vAlign w:val="center"/>
          </w:tcPr>
          <w:p>
            <w:pPr>
              <w:spacing w:after="0" w:line="240" w:lineRule="auto"/>
              <w:jc w:val="center"/>
              <w:rPr>
                <w:rFonts w:hint="eastAsia" w:ascii="宋体" w:hAnsi="宋体" w:eastAsia="宋体" w:cs="宋体"/>
                <w:b w:val="0"/>
                <w:bCs w:val="0"/>
              </w:rPr>
            </w:pPr>
            <w:r>
              <w:rPr>
                <w:rFonts w:hint="eastAsia" w:ascii="宋体" w:hAnsi="宋体" w:eastAsia="宋体" w:cs="宋体"/>
                <w:b w:val="0"/>
                <w:bCs w:val="0"/>
              </w:rPr>
              <w:t>用途</w:t>
            </w:r>
          </w:p>
        </w:tc>
        <w:tc>
          <w:tcPr>
            <w:tcW w:w="7058" w:type="dxa"/>
            <w:vAlign w:val="center"/>
          </w:tcPr>
          <w:p>
            <w:pPr>
              <w:spacing w:after="0" w:line="240" w:lineRule="auto"/>
              <w:jc w:val="left"/>
              <w:rPr>
                <w:rFonts w:hint="eastAsia" w:ascii="宋体" w:hAnsi="宋体" w:eastAsia="宋体" w:cs="宋体"/>
                <w:b w:val="0"/>
                <w:bCs w:val="0"/>
              </w:rPr>
            </w:pPr>
            <w:r>
              <w:rPr>
                <w:rFonts w:hint="eastAsia" w:ascii="宋体" w:hAnsi="宋体" w:eastAsia="宋体" w:cs="宋体"/>
                <w:b w:val="0"/>
                <w:bCs w:val="0"/>
              </w:rPr>
              <w:t>样本处理用产品，用于阴道分泌物样本的荧光染色。</w:t>
            </w:r>
          </w:p>
        </w:tc>
      </w:tr>
    </w:tbl>
    <w:p>
      <w:pPr>
        <w:pStyle w:val="18"/>
        <w:numPr>
          <w:ilvl w:val="0"/>
          <w:numId w:val="0"/>
        </w:numPr>
        <w:spacing w:line="360" w:lineRule="auto"/>
        <w:ind w:leftChars="0"/>
        <w:rPr>
          <w:rFonts w:hint="eastAsia" w:ascii="宋体" w:hAnsi="宋体" w:eastAsia="宋体" w:cs="宋体"/>
          <w:sz w:val="24"/>
          <w:szCs w:val="24"/>
          <w:lang w:val="en-US" w:eastAsia="zh-CN"/>
        </w:rPr>
      </w:pP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pgBorders>
            <w:top w:val="none" w:sz="0" w:space="0"/>
            <w:left w:val="none" w:sz="0" w:space="0"/>
            <w:bottom w:val="none" w:sz="0" w:space="0"/>
            <w:right w:val="none" w:sz="0" w:space="0"/>
          </w:pgBorders>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77</w:t>
    </w:r>
    <w:r>
      <w:rPr>
        <w:rStyle w:val="36"/>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77</w:t>
    </w:r>
    <w:r>
      <w:rPr>
        <w:rStyle w:val="36"/>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1">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2">
    <w:nsid w:val="CD42E90B"/>
    <w:multiLevelType w:val="singleLevel"/>
    <w:tmpl w:val="CD42E90B"/>
    <w:lvl w:ilvl="0" w:tentative="0">
      <w:start w:val="2"/>
      <w:numFmt w:val="decimal"/>
      <w:suff w:val="nothing"/>
      <w:lvlText w:val="（%1）"/>
      <w:lvlJc w:val="left"/>
    </w:lvl>
  </w:abstractNum>
  <w:abstractNum w:abstractNumId="3">
    <w:nsid w:val="D6EC69DB"/>
    <w:multiLevelType w:val="singleLevel"/>
    <w:tmpl w:val="D6EC69DB"/>
    <w:lvl w:ilvl="0" w:tentative="0">
      <w:start w:val="1"/>
      <w:numFmt w:val="decimal"/>
      <w:lvlText w:val="%1、"/>
      <w:lvlJc w:val="left"/>
      <w:pPr>
        <w:ind w:left="425" w:hanging="425"/>
      </w:pPr>
      <w:rPr>
        <w:rFonts w:ascii="宋体" w:hAnsi="宋体" w:eastAsia="宋体" w:cs="Times New Roman"/>
      </w:rPr>
    </w:lvl>
  </w:abstractNum>
  <w:abstractNum w:abstractNumId="4">
    <w:nsid w:val="D94F0F54"/>
    <w:multiLevelType w:val="singleLevel"/>
    <w:tmpl w:val="D94F0F54"/>
    <w:lvl w:ilvl="0" w:tentative="0">
      <w:start w:val="1"/>
      <w:numFmt w:val="chineseCounting"/>
      <w:suff w:val="nothing"/>
      <w:lvlText w:val="%1、"/>
      <w:lvlJc w:val="left"/>
      <w:pPr>
        <w:ind w:left="-420" w:firstLine="420"/>
      </w:pPr>
      <w:rPr>
        <w:rFonts w:hint="eastAsia"/>
        <w:b w:val="0"/>
        <w:bCs w:val="0"/>
      </w:rPr>
    </w:lvl>
  </w:abstractNum>
  <w:abstractNum w:abstractNumId="5">
    <w:nsid w:val="E380AD4C"/>
    <w:multiLevelType w:val="singleLevel"/>
    <w:tmpl w:val="E380AD4C"/>
    <w:lvl w:ilvl="0" w:tentative="0">
      <w:start w:val="1"/>
      <w:numFmt w:val="chineseCounting"/>
      <w:suff w:val="nothing"/>
      <w:lvlText w:val="%1、"/>
      <w:lvlJc w:val="left"/>
      <w:pPr>
        <w:ind w:left="-420" w:firstLine="420"/>
      </w:pPr>
      <w:rPr>
        <w:rFonts w:hint="eastAsia"/>
        <w:b w:val="0"/>
        <w:bCs w:val="0"/>
      </w:rPr>
    </w:lvl>
  </w:abstractNum>
  <w:abstractNum w:abstractNumId="6">
    <w:nsid w:val="F1FBE7E4"/>
    <w:multiLevelType w:val="singleLevel"/>
    <w:tmpl w:val="F1FBE7E4"/>
    <w:lvl w:ilvl="0" w:tentative="0">
      <w:start w:val="1"/>
      <w:numFmt w:val="chineseCounting"/>
      <w:suff w:val="nothing"/>
      <w:lvlText w:val="%1、"/>
      <w:lvlJc w:val="left"/>
      <w:pPr>
        <w:ind w:left="-420" w:firstLine="420"/>
      </w:pPr>
      <w:rPr>
        <w:rFonts w:hint="eastAsia"/>
        <w:b w:val="0"/>
        <w:bCs w:val="0"/>
      </w:rPr>
    </w:lvl>
  </w:abstractNum>
  <w:abstractNum w:abstractNumId="7">
    <w:nsid w:val="037DAD23"/>
    <w:multiLevelType w:val="singleLevel"/>
    <w:tmpl w:val="037DAD23"/>
    <w:lvl w:ilvl="0" w:tentative="0">
      <w:start w:val="1"/>
      <w:numFmt w:val="decimal"/>
      <w:suff w:val="nothing"/>
      <w:lvlText w:val="%1、"/>
      <w:lvlJc w:val="left"/>
    </w:lvl>
  </w:abstractNum>
  <w:abstractNum w:abstractNumId="8">
    <w:nsid w:val="10FC1BE1"/>
    <w:multiLevelType w:val="singleLevel"/>
    <w:tmpl w:val="10FC1BE1"/>
    <w:lvl w:ilvl="0" w:tentative="0">
      <w:start w:val="1"/>
      <w:numFmt w:val="chineseCounting"/>
      <w:suff w:val="nothing"/>
      <w:lvlText w:val="%1、"/>
      <w:lvlJc w:val="left"/>
      <w:pPr>
        <w:ind w:left="-420" w:firstLine="420"/>
      </w:pPr>
      <w:rPr>
        <w:rFonts w:hint="eastAsia"/>
        <w:b w:val="0"/>
        <w:bCs w:val="0"/>
      </w:rPr>
    </w:lvl>
  </w:abstractNum>
  <w:abstractNum w:abstractNumId="9">
    <w:nsid w:val="11F24991"/>
    <w:multiLevelType w:val="singleLevel"/>
    <w:tmpl w:val="11F24991"/>
    <w:lvl w:ilvl="0" w:tentative="0">
      <w:start w:val="1"/>
      <w:numFmt w:val="chineseCounting"/>
      <w:suff w:val="nothing"/>
      <w:lvlText w:val="%1、"/>
      <w:lvlJc w:val="left"/>
      <w:pPr>
        <w:ind w:left="-420" w:firstLine="420"/>
      </w:pPr>
      <w:rPr>
        <w:rFonts w:hint="eastAsia"/>
        <w:b w:val="0"/>
        <w:bCs w:val="0"/>
      </w:rPr>
    </w:lvl>
  </w:abstractNum>
  <w:abstractNum w:abstractNumId="10">
    <w:nsid w:val="2382C396"/>
    <w:multiLevelType w:val="singleLevel"/>
    <w:tmpl w:val="2382C396"/>
    <w:lvl w:ilvl="0" w:tentative="0">
      <w:start w:val="1"/>
      <w:numFmt w:val="decimal"/>
      <w:suff w:val="nothing"/>
      <w:lvlText w:val="%1、"/>
      <w:lvlJc w:val="left"/>
    </w:lvl>
  </w:abstractNum>
  <w:abstractNum w:abstractNumId="11">
    <w:nsid w:val="40C04F2A"/>
    <w:multiLevelType w:val="singleLevel"/>
    <w:tmpl w:val="40C04F2A"/>
    <w:lvl w:ilvl="0" w:tentative="0">
      <w:start w:val="1"/>
      <w:numFmt w:val="decimal"/>
      <w:lvlText w:val="%1."/>
      <w:lvlJc w:val="left"/>
      <w:pPr>
        <w:ind w:left="425" w:hanging="425"/>
      </w:pPr>
      <w:rPr>
        <w:rFonts w:hint="default"/>
      </w:rPr>
    </w:lvl>
  </w:abstractNum>
  <w:abstractNum w:abstractNumId="12">
    <w:nsid w:val="52FE4A56"/>
    <w:multiLevelType w:val="singleLevel"/>
    <w:tmpl w:val="52FE4A56"/>
    <w:lvl w:ilvl="0" w:tentative="0">
      <w:start w:val="1"/>
      <w:numFmt w:val="chineseCounting"/>
      <w:suff w:val="nothing"/>
      <w:lvlText w:val="%1、"/>
      <w:lvlJc w:val="left"/>
      <w:pPr>
        <w:ind w:left="-420" w:firstLine="420"/>
      </w:pPr>
      <w:rPr>
        <w:rFonts w:hint="eastAsia"/>
        <w:b w:val="0"/>
        <w:bCs w:val="0"/>
      </w:rPr>
    </w:lvl>
  </w:abstractNum>
  <w:abstractNum w:abstractNumId="13">
    <w:nsid w:val="57FB7DDC"/>
    <w:multiLevelType w:val="multilevel"/>
    <w:tmpl w:val="57FB7DDC"/>
    <w:lvl w:ilvl="0" w:tentative="0">
      <w:start w:val="1"/>
      <w:numFmt w:val="bullet"/>
      <w:pStyle w:val="20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5B761839"/>
    <w:multiLevelType w:val="singleLevel"/>
    <w:tmpl w:val="5B761839"/>
    <w:lvl w:ilvl="0" w:tentative="0">
      <w:start w:val="1"/>
      <w:numFmt w:val="decimal"/>
      <w:lvlText w:val="%1."/>
      <w:lvlJc w:val="left"/>
      <w:pPr>
        <w:ind w:left="425" w:hanging="425"/>
      </w:pPr>
      <w:rPr>
        <w:rFonts w:hint="default"/>
      </w:rPr>
    </w:lvl>
  </w:abstractNum>
  <w:abstractNum w:abstractNumId="15">
    <w:nsid w:val="621677EF"/>
    <w:multiLevelType w:val="singleLevel"/>
    <w:tmpl w:val="621677EF"/>
    <w:lvl w:ilvl="0" w:tentative="0">
      <w:start w:val="1"/>
      <w:numFmt w:val="decimal"/>
      <w:lvlText w:val="%1."/>
      <w:lvlJc w:val="left"/>
      <w:pPr>
        <w:tabs>
          <w:tab w:val="left" w:pos="312"/>
        </w:tabs>
      </w:pPr>
    </w:lvl>
  </w:abstractNum>
  <w:abstractNum w:abstractNumId="16">
    <w:nsid w:val="762A6DF2"/>
    <w:multiLevelType w:val="singleLevel"/>
    <w:tmpl w:val="762A6DF2"/>
    <w:lvl w:ilvl="0" w:tentative="0">
      <w:start w:val="1"/>
      <w:numFmt w:val="chineseCounting"/>
      <w:suff w:val="nothing"/>
      <w:lvlText w:val="%1、"/>
      <w:lvlJc w:val="left"/>
      <w:pPr>
        <w:ind w:left="-420" w:firstLine="420"/>
      </w:pPr>
      <w:rPr>
        <w:rFonts w:hint="eastAsia"/>
        <w:b w:val="0"/>
        <w:bCs w:val="0"/>
      </w:rPr>
    </w:lvl>
  </w:abstractNum>
  <w:num w:numId="1">
    <w:abstractNumId w:val="13"/>
  </w:num>
  <w:num w:numId="2">
    <w:abstractNumId w:val="2"/>
  </w:num>
  <w:num w:numId="3">
    <w:abstractNumId w:val="0"/>
  </w:num>
  <w:num w:numId="4">
    <w:abstractNumId w:val="1"/>
  </w:num>
  <w:num w:numId="5">
    <w:abstractNumId w:val="3"/>
  </w:num>
  <w:num w:numId="6">
    <w:abstractNumId w:val="6"/>
  </w:num>
  <w:num w:numId="7">
    <w:abstractNumId w:val="8"/>
  </w:num>
  <w:num w:numId="8">
    <w:abstractNumId w:val="14"/>
  </w:num>
  <w:num w:numId="9">
    <w:abstractNumId w:val="5"/>
  </w:num>
  <w:num w:numId="10">
    <w:abstractNumId w:val="15"/>
  </w:num>
  <w:num w:numId="11">
    <w:abstractNumId w:val="4"/>
  </w:num>
  <w:num w:numId="12">
    <w:abstractNumId w:val="7"/>
  </w:num>
  <w:num w:numId="13">
    <w:abstractNumId w:val="12"/>
  </w:num>
  <w:num w:numId="14">
    <w:abstractNumId w:val="11"/>
  </w:num>
  <w:num w:numId="15">
    <w:abstractNumId w:val="9"/>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51C4C02"/>
    <w:rsid w:val="05333456"/>
    <w:rsid w:val="059503E5"/>
    <w:rsid w:val="05A21A3D"/>
    <w:rsid w:val="05D709B3"/>
    <w:rsid w:val="06710E08"/>
    <w:rsid w:val="06826B71"/>
    <w:rsid w:val="07C20BED"/>
    <w:rsid w:val="08FD6983"/>
    <w:rsid w:val="09EE3807"/>
    <w:rsid w:val="0A7753AE"/>
    <w:rsid w:val="0AF338CE"/>
    <w:rsid w:val="0BDF2CAF"/>
    <w:rsid w:val="0BF00DA4"/>
    <w:rsid w:val="0EAE2CA8"/>
    <w:rsid w:val="0EEA6FBA"/>
    <w:rsid w:val="0EF02652"/>
    <w:rsid w:val="0F0C212E"/>
    <w:rsid w:val="0FFD6BE5"/>
    <w:rsid w:val="108822C7"/>
    <w:rsid w:val="126A0881"/>
    <w:rsid w:val="129544B2"/>
    <w:rsid w:val="139C0D9D"/>
    <w:rsid w:val="13BB3FAB"/>
    <w:rsid w:val="13E44EDE"/>
    <w:rsid w:val="18B76B4E"/>
    <w:rsid w:val="19530D66"/>
    <w:rsid w:val="196A4DA8"/>
    <w:rsid w:val="19BC5BE6"/>
    <w:rsid w:val="19DC576F"/>
    <w:rsid w:val="1A355C22"/>
    <w:rsid w:val="1A5F06D7"/>
    <w:rsid w:val="1A7B1DFD"/>
    <w:rsid w:val="1ACC1559"/>
    <w:rsid w:val="1B09545F"/>
    <w:rsid w:val="1C7C757C"/>
    <w:rsid w:val="1CF2158A"/>
    <w:rsid w:val="1DBB4EF2"/>
    <w:rsid w:val="1DBC650F"/>
    <w:rsid w:val="1E1B0F42"/>
    <w:rsid w:val="1E4F1A12"/>
    <w:rsid w:val="1E6E1433"/>
    <w:rsid w:val="206F557C"/>
    <w:rsid w:val="21546AEE"/>
    <w:rsid w:val="21CA6472"/>
    <w:rsid w:val="22AA393E"/>
    <w:rsid w:val="23276141"/>
    <w:rsid w:val="23F2414E"/>
    <w:rsid w:val="2411348B"/>
    <w:rsid w:val="24161FB7"/>
    <w:rsid w:val="2458229A"/>
    <w:rsid w:val="2464469F"/>
    <w:rsid w:val="24C25007"/>
    <w:rsid w:val="25043F40"/>
    <w:rsid w:val="25ED784B"/>
    <w:rsid w:val="25F11009"/>
    <w:rsid w:val="262A7ACF"/>
    <w:rsid w:val="266F0A68"/>
    <w:rsid w:val="271D349F"/>
    <w:rsid w:val="277C62E7"/>
    <w:rsid w:val="2AF93139"/>
    <w:rsid w:val="2B2963D3"/>
    <w:rsid w:val="2BD61E29"/>
    <w:rsid w:val="2D3628CB"/>
    <w:rsid w:val="2E095F27"/>
    <w:rsid w:val="2E287082"/>
    <w:rsid w:val="2E5C3FC8"/>
    <w:rsid w:val="2E6E18BF"/>
    <w:rsid w:val="2E884201"/>
    <w:rsid w:val="2F233B10"/>
    <w:rsid w:val="2F2C5770"/>
    <w:rsid w:val="2F535254"/>
    <w:rsid w:val="2F8A4D47"/>
    <w:rsid w:val="315E1161"/>
    <w:rsid w:val="31B27269"/>
    <w:rsid w:val="31C06C2B"/>
    <w:rsid w:val="32725D0C"/>
    <w:rsid w:val="331367BC"/>
    <w:rsid w:val="33B23A15"/>
    <w:rsid w:val="33F90104"/>
    <w:rsid w:val="34EE008B"/>
    <w:rsid w:val="35173EF4"/>
    <w:rsid w:val="352B33FC"/>
    <w:rsid w:val="35805CB4"/>
    <w:rsid w:val="36550770"/>
    <w:rsid w:val="36CA3141"/>
    <w:rsid w:val="37B458FA"/>
    <w:rsid w:val="37C130EE"/>
    <w:rsid w:val="38593614"/>
    <w:rsid w:val="39301A51"/>
    <w:rsid w:val="3962419B"/>
    <w:rsid w:val="3A4103F8"/>
    <w:rsid w:val="3B4D2F6C"/>
    <w:rsid w:val="3B6F4ECC"/>
    <w:rsid w:val="3BF15DAC"/>
    <w:rsid w:val="3C912E01"/>
    <w:rsid w:val="3D3325E2"/>
    <w:rsid w:val="3D6A45ED"/>
    <w:rsid w:val="3DA4759C"/>
    <w:rsid w:val="3DFE745B"/>
    <w:rsid w:val="3E2B711B"/>
    <w:rsid w:val="3E2D1012"/>
    <w:rsid w:val="3E48145F"/>
    <w:rsid w:val="3F734081"/>
    <w:rsid w:val="409018AF"/>
    <w:rsid w:val="40D257E7"/>
    <w:rsid w:val="40E94034"/>
    <w:rsid w:val="412709D8"/>
    <w:rsid w:val="41627833"/>
    <w:rsid w:val="416D419A"/>
    <w:rsid w:val="41E34CF4"/>
    <w:rsid w:val="421443FB"/>
    <w:rsid w:val="427239F0"/>
    <w:rsid w:val="433472CD"/>
    <w:rsid w:val="43426C26"/>
    <w:rsid w:val="434E7278"/>
    <w:rsid w:val="44C60E76"/>
    <w:rsid w:val="44E76487"/>
    <w:rsid w:val="4535060E"/>
    <w:rsid w:val="469B3D4F"/>
    <w:rsid w:val="469F284C"/>
    <w:rsid w:val="473A03ED"/>
    <w:rsid w:val="48000069"/>
    <w:rsid w:val="49565B7D"/>
    <w:rsid w:val="49B25227"/>
    <w:rsid w:val="4B863339"/>
    <w:rsid w:val="4BA42333"/>
    <w:rsid w:val="4CEE1CF2"/>
    <w:rsid w:val="4D25098E"/>
    <w:rsid w:val="4D77632F"/>
    <w:rsid w:val="4D8F310F"/>
    <w:rsid w:val="4DB0533F"/>
    <w:rsid w:val="4DDC66FE"/>
    <w:rsid w:val="4E7C3473"/>
    <w:rsid w:val="4FB81DC2"/>
    <w:rsid w:val="501778F7"/>
    <w:rsid w:val="50CF0D56"/>
    <w:rsid w:val="516C6AB8"/>
    <w:rsid w:val="51E8779D"/>
    <w:rsid w:val="52C021AE"/>
    <w:rsid w:val="533613EF"/>
    <w:rsid w:val="5371335C"/>
    <w:rsid w:val="5389510F"/>
    <w:rsid w:val="544D38E7"/>
    <w:rsid w:val="54643684"/>
    <w:rsid w:val="54BD39A2"/>
    <w:rsid w:val="55224D7B"/>
    <w:rsid w:val="557863A7"/>
    <w:rsid w:val="56E97E3E"/>
    <w:rsid w:val="570E7256"/>
    <w:rsid w:val="59A549DC"/>
    <w:rsid w:val="5A825D4E"/>
    <w:rsid w:val="5BB838A1"/>
    <w:rsid w:val="5CA61950"/>
    <w:rsid w:val="5CDE5CFF"/>
    <w:rsid w:val="5CF501E7"/>
    <w:rsid w:val="5E4E4400"/>
    <w:rsid w:val="5E5E67D4"/>
    <w:rsid w:val="5EAC2763"/>
    <w:rsid w:val="60BA47AE"/>
    <w:rsid w:val="61E26848"/>
    <w:rsid w:val="63B05371"/>
    <w:rsid w:val="63D92820"/>
    <w:rsid w:val="63E1229E"/>
    <w:rsid w:val="64917820"/>
    <w:rsid w:val="6688474A"/>
    <w:rsid w:val="66B670BA"/>
    <w:rsid w:val="670D5963"/>
    <w:rsid w:val="67411EF2"/>
    <w:rsid w:val="67562AAF"/>
    <w:rsid w:val="67C41429"/>
    <w:rsid w:val="684E60CA"/>
    <w:rsid w:val="685F15E7"/>
    <w:rsid w:val="6867089A"/>
    <w:rsid w:val="690540BF"/>
    <w:rsid w:val="698653EA"/>
    <w:rsid w:val="698F11EF"/>
    <w:rsid w:val="699B0761"/>
    <w:rsid w:val="69BE7719"/>
    <w:rsid w:val="6A0856B9"/>
    <w:rsid w:val="6A664098"/>
    <w:rsid w:val="6AD43DDA"/>
    <w:rsid w:val="6BB07235"/>
    <w:rsid w:val="6BCB7ABB"/>
    <w:rsid w:val="6C146FEA"/>
    <w:rsid w:val="6CE12E64"/>
    <w:rsid w:val="6CEA0C57"/>
    <w:rsid w:val="6D024D8C"/>
    <w:rsid w:val="6E5E1F70"/>
    <w:rsid w:val="6ECC7A0D"/>
    <w:rsid w:val="706B18B9"/>
    <w:rsid w:val="709F0097"/>
    <w:rsid w:val="70EA395C"/>
    <w:rsid w:val="71C45194"/>
    <w:rsid w:val="71C64881"/>
    <w:rsid w:val="735B1691"/>
    <w:rsid w:val="7397006E"/>
    <w:rsid w:val="740D6797"/>
    <w:rsid w:val="748B756C"/>
    <w:rsid w:val="75CC49D7"/>
    <w:rsid w:val="76466098"/>
    <w:rsid w:val="76C539AC"/>
    <w:rsid w:val="77C35AEB"/>
    <w:rsid w:val="77FC6E05"/>
    <w:rsid w:val="789E738C"/>
    <w:rsid w:val="79715BD1"/>
    <w:rsid w:val="7A5944E4"/>
    <w:rsid w:val="7B983999"/>
    <w:rsid w:val="7C3A20F4"/>
    <w:rsid w:val="7C514E63"/>
    <w:rsid w:val="7CA25B04"/>
    <w:rsid w:val="7D2F5BB7"/>
    <w:rsid w:val="7DD03920"/>
    <w:rsid w:val="7DF33D62"/>
    <w:rsid w:val="7ED9015B"/>
    <w:rsid w:val="7F356D4B"/>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5"/>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7"/>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8"/>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9"/>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50"/>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51"/>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4"/>
    <w:qFormat/>
    <w:uiPriority w:val="0"/>
    <w:rPr>
      <w:rFonts w:ascii="宋体" w:hAnsi="Times New Roman" w:eastAsia="宋体" w:cs="Times New Roman"/>
      <w:sz w:val="18"/>
      <w:szCs w:val="18"/>
    </w:rPr>
  </w:style>
  <w:style w:type="paragraph" w:styleId="13">
    <w:name w:val="annotation text"/>
    <w:basedOn w:val="1"/>
    <w:link w:val="127"/>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7"/>
    <w:qFormat/>
    <w:uiPriority w:val="0"/>
    <w:rPr>
      <w:rFonts w:ascii="Times New Roman" w:hAnsi="Times New Roman" w:eastAsia="宋体" w:cs="Times New Roman"/>
      <w:sz w:val="48"/>
      <w:szCs w:val="48"/>
    </w:rPr>
  </w:style>
  <w:style w:type="paragraph" w:styleId="15">
    <w:name w:val="Body Text"/>
    <w:basedOn w:val="1"/>
    <w:link w:val="104"/>
    <w:qFormat/>
    <w:uiPriority w:val="0"/>
    <w:pPr>
      <w:spacing w:after="120"/>
    </w:pPr>
    <w:rPr>
      <w:rFonts w:ascii="Times New Roman" w:hAnsi="Times New Roman" w:eastAsia="宋体" w:cs="Times New Roman"/>
      <w:szCs w:val="20"/>
    </w:rPr>
  </w:style>
  <w:style w:type="paragraph" w:styleId="16">
    <w:name w:val="Body Text Indent"/>
    <w:basedOn w:val="1"/>
    <w:link w:val="105"/>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3"/>
    <w:qFormat/>
    <w:uiPriority w:val="0"/>
    <w:rPr>
      <w:rFonts w:ascii="宋体" w:hAnsi="Courier New" w:eastAsia="宋体" w:cs="Times New Roman"/>
      <w:szCs w:val="20"/>
    </w:rPr>
  </w:style>
  <w:style w:type="paragraph" w:styleId="19">
    <w:name w:val="Date"/>
    <w:basedOn w:val="1"/>
    <w:next w:val="1"/>
    <w:link w:val="54"/>
    <w:qFormat/>
    <w:uiPriority w:val="0"/>
    <w:rPr>
      <w:rFonts w:ascii="宋体" w:hAnsi="Times New Roman" w:eastAsia="宋体" w:cs="Times New Roman"/>
      <w:b/>
      <w:sz w:val="36"/>
      <w:szCs w:val="20"/>
    </w:rPr>
  </w:style>
  <w:style w:type="paragraph" w:styleId="20">
    <w:name w:val="Body Text Indent 2"/>
    <w:basedOn w:val="1"/>
    <w:link w:val="111"/>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2"/>
    <w:semiHidden/>
    <w:qFormat/>
    <w:uiPriority w:val="0"/>
    <w:rPr>
      <w:rFonts w:ascii="Times New Roman" w:hAnsi="Times New Roman" w:eastAsia="宋体" w:cs="Times New Roman"/>
      <w:sz w:val="18"/>
      <w:szCs w:val="18"/>
    </w:rPr>
  </w:style>
  <w:style w:type="paragraph" w:styleId="22">
    <w:name w:val="footer"/>
    <w:basedOn w:val="1"/>
    <w:link w:val="42"/>
    <w:unhideWhenUsed/>
    <w:qFormat/>
    <w:uiPriority w:val="99"/>
    <w:pPr>
      <w:tabs>
        <w:tab w:val="center" w:pos="4153"/>
        <w:tab w:val="right" w:pos="8306"/>
      </w:tabs>
      <w:snapToGrid w:val="0"/>
      <w:jc w:val="left"/>
    </w:pPr>
    <w:rPr>
      <w:sz w:val="18"/>
      <w:szCs w:val="18"/>
    </w:rPr>
  </w:style>
  <w:style w:type="paragraph" w:styleId="2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6"/>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3"/>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7"/>
    <w:qFormat/>
    <w:uiPriority w:val="0"/>
    <w:pPr>
      <w:jc w:val="center"/>
    </w:pPr>
    <w:rPr>
      <w:rFonts w:ascii="楷体_GB2312" w:hAnsi="Times New Roman" w:eastAsia="楷体_GB2312" w:cs="Times New Roman"/>
      <w:b/>
      <w:sz w:val="72"/>
      <w:szCs w:val="20"/>
    </w:rPr>
  </w:style>
  <w:style w:type="paragraph" w:styleId="28">
    <w:name w:val="HTML Preformatted"/>
    <w:basedOn w:val="1"/>
    <w:link w:val="20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Normal (Web)"/>
    <w:basedOn w:val="1"/>
    <w:qFormat/>
    <w:uiPriority w:val="0"/>
    <w:rPr>
      <w:sz w:val="24"/>
    </w:rPr>
  </w:style>
  <w:style w:type="paragraph" w:styleId="30">
    <w:name w:val="Title"/>
    <w:basedOn w:val="1"/>
    <w:link w:val="134"/>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3"/>
    <w:next w:val="13"/>
    <w:link w:val="178"/>
    <w:qFormat/>
    <w:uiPriority w:val="0"/>
    <w:pPr>
      <w:adjustRightInd/>
      <w:spacing w:line="240" w:lineRule="auto"/>
      <w:textAlignment w:val="auto"/>
    </w:pPr>
    <w:rPr>
      <w:b/>
      <w:bCs/>
      <w:kern w:val="2"/>
      <w:sz w:val="21"/>
      <w:szCs w:val="24"/>
    </w:rPr>
  </w:style>
  <w:style w:type="table" w:styleId="33">
    <w:name w:val="Table Grid"/>
    <w:basedOn w:val="32"/>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Strong"/>
    <w:qFormat/>
    <w:uiPriority w:val="0"/>
    <w:rPr>
      <w:b/>
    </w:rPr>
  </w:style>
  <w:style w:type="character" w:styleId="36">
    <w:name w:val="page number"/>
    <w:basedOn w:val="34"/>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i/>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customStyle="1" w:styleId="41">
    <w:name w:val="页眉 Char1"/>
    <w:basedOn w:val="34"/>
    <w:link w:val="23"/>
    <w:qFormat/>
    <w:uiPriority w:val="99"/>
    <w:rPr>
      <w:sz w:val="18"/>
      <w:szCs w:val="18"/>
    </w:rPr>
  </w:style>
  <w:style w:type="character" w:customStyle="1" w:styleId="42">
    <w:name w:val="页脚 Char1"/>
    <w:basedOn w:val="34"/>
    <w:link w:val="22"/>
    <w:qFormat/>
    <w:uiPriority w:val="99"/>
    <w:rPr>
      <w:sz w:val="18"/>
      <w:szCs w:val="18"/>
    </w:rPr>
  </w:style>
  <w:style w:type="character" w:customStyle="1" w:styleId="43">
    <w:name w:val="标题 1 Char"/>
    <w:basedOn w:val="34"/>
    <w:link w:val="2"/>
    <w:qFormat/>
    <w:uiPriority w:val="0"/>
    <w:rPr>
      <w:rFonts w:ascii="Times New Roman" w:hAnsi="Times New Roman" w:eastAsia="宋体" w:cs="Times New Roman"/>
      <w:b/>
      <w:kern w:val="44"/>
      <w:sz w:val="44"/>
      <w:szCs w:val="20"/>
    </w:rPr>
  </w:style>
  <w:style w:type="character" w:customStyle="1" w:styleId="44">
    <w:name w:val="标题 2 Char"/>
    <w:basedOn w:val="34"/>
    <w:link w:val="3"/>
    <w:qFormat/>
    <w:uiPriority w:val="0"/>
    <w:rPr>
      <w:rFonts w:ascii="Arial" w:hAnsi="Arial" w:eastAsia="黑体" w:cs="Times New Roman"/>
      <w:b/>
      <w:bCs/>
      <w:sz w:val="32"/>
      <w:szCs w:val="32"/>
    </w:rPr>
  </w:style>
  <w:style w:type="character" w:customStyle="1" w:styleId="45">
    <w:name w:val="标题 3 Char"/>
    <w:basedOn w:val="34"/>
    <w:link w:val="4"/>
    <w:qFormat/>
    <w:uiPriority w:val="0"/>
    <w:rPr>
      <w:rFonts w:ascii="Times New Roman" w:hAnsi="Times New Roman" w:eastAsia="宋体" w:cs="Times New Roman"/>
      <w:b/>
      <w:sz w:val="32"/>
      <w:szCs w:val="20"/>
    </w:rPr>
  </w:style>
  <w:style w:type="character" w:customStyle="1" w:styleId="46">
    <w:name w:val="标题 4 Char"/>
    <w:basedOn w:val="34"/>
    <w:link w:val="6"/>
    <w:qFormat/>
    <w:uiPriority w:val="0"/>
    <w:rPr>
      <w:rFonts w:ascii="Arial" w:hAnsi="Arial" w:eastAsia="黑体" w:cs="Times New Roman"/>
      <w:b/>
      <w:bCs/>
      <w:sz w:val="28"/>
      <w:szCs w:val="28"/>
    </w:rPr>
  </w:style>
  <w:style w:type="character" w:customStyle="1" w:styleId="47">
    <w:name w:val="标题 5 Char"/>
    <w:basedOn w:val="34"/>
    <w:link w:val="7"/>
    <w:qFormat/>
    <w:uiPriority w:val="0"/>
    <w:rPr>
      <w:rFonts w:ascii="Times New Roman" w:hAnsi="Times New Roman" w:eastAsia="宋体" w:cs="Times New Roman"/>
      <w:b/>
      <w:bCs/>
      <w:sz w:val="28"/>
      <w:szCs w:val="28"/>
    </w:rPr>
  </w:style>
  <w:style w:type="character" w:customStyle="1" w:styleId="48">
    <w:name w:val="标题 6 Char"/>
    <w:basedOn w:val="34"/>
    <w:link w:val="8"/>
    <w:qFormat/>
    <w:uiPriority w:val="0"/>
    <w:rPr>
      <w:rFonts w:ascii="Arial" w:hAnsi="Arial" w:eastAsia="黑体" w:cs="Times New Roman"/>
      <w:b/>
      <w:bCs/>
      <w:sz w:val="24"/>
      <w:szCs w:val="24"/>
    </w:rPr>
  </w:style>
  <w:style w:type="character" w:customStyle="1" w:styleId="49">
    <w:name w:val="标题 7 Char"/>
    <w:basedOn w:val="34"/>
    <w:link w:val="9"/>
    <w:qFormat/>
    <w:uiPriority w:val="0"/>
    <w:rPr>
      <w:rFonts w:ascii="Times New Roman" w:hAnsi="Times New Roman" w:eastAsia="宋体" w:cs="Times New Roman"/>
      <w:b/>
      <w:bCs/>
      <w:sz w:val="24"/>
      <w:szCs w:val="24"/>
    </w:rPr>
  </w:style>
  <w:style w:type="character" w:customStyle="1" w:styleId="50">
    <w:name w:val="标题 8 Char"/>
    <w:basedOn w:val="34"/>
    <w:link w:val="10"/>
    <w:qFormat/>
    <w:uiPriority w:val="0"/>
    <w:rPr>
      <w:rFonts w:ascii="Arial" w:hAnsi="Arial" w:eastAsia="黑体" w:cs="Times New Roman"/>
      <w:sz w:val="24"/>
      <w:szCs w:val="24"/>
    </w:rPr>
  </w:style>
  <w:style w:type="character" w:customStyle="1" w:styleId="51">
    <w:name w:val="标题 9 Char"/>
    <w:basedOn w:val="34"/>
    <w:link w:val="11"/>
    <w:qFormat/>
    <w:uiPriority w:val="0"/>
    <w:rPr>
      <w:rFonts w:ascii="Arial" w:hAnsi="Arial" w:eastAsia="黑体" w:cs="Times New Roman"/>
      <w:szCs w:val="21"/>
    </w:rPr>
  </w:style>
  <w:style w:type="paragraph" w:customStyle="1" w:styleId="52">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3">
    <w:name w:val="纯文本 Char"/>
    <w:basedOn w:val="34"/>
    <w:link w:val="18"/>
    <w:qFormat/>
    <w:uiPriority w:val="0"/>
    <w:rPr>
      <w:rFonts w:ascii="宋体" w:hAnsi="Courier New" w:eastAsia="宋体" w:cs="Times New Roman"/>
      <w:szCs w:val="20"/>
    </w:rPr>
  </w:style>
  <w:style w:type="character" w:customStyle="1" w:styleId="54">
    <w:name w:val="日期 Char"/>
    <w:basedOn w:val="34"/>
    <w:link w:val="19"/>
    <w:qFormat/>
    <w:uiPriority w:val="0"/>
    <w:rPr>
      <w:rFonts w:ascii="宋体" w:hAnsi="Times New Roman" w:eastAsia="宋体" w:cs="Times New Roman"/>
      <w:b/>
      <w:sz w:val="36"/>
      <w:szCs w:val="20"/>
    </w:rPr>
  </w:style>
  <w:style w:type="paragraph" w:customStyle="1" w:styleId="55">
    <w:name w:val="_Style 32"/>
    <w:basedOn w:val="1"/>
    <w:next w:val="56"/>
    <w:qFormat/>
    <w:uiPriority w:val="0"/>
    <w:pPr>
      <w:ind w:firstLine="420" w:firstLineChars="200"/>
    </w:pPr>
    <w:rPr>
      <w:rFonts w:ascii="Times New Roman" w:hAnsi="Times New Roman" w:eastAsia="宋体" w:cs="Times New Roman"/>
      <w:szCs w:val="21"/>
    </w:rPr>
  </w:style>
  <w:style w:type="paragraph" w:styleId="56">
    <w:name w:val="List Paragraph"/>
    <w:basedOn w:val="1"/>
    <w:qFormat/>
    <w:uiPriority w:val="34"/>
    <w:pPr>
      <w:ind w:firstLine="420" w:firstLineChars="200"/>
    </w:pPr>
  </w:style>
  <w:style w:type="paragraph" w:customStyle="1" w:styleId="57">
    <w:name w:val="itb"/>
    <w:basedOn w:val="4"/>
    <w:qFormat/>
    <w:uiPriority w:val="0"/>
    <w:pPr>
      <w:jc w:val="center"/>
    </w:pPr>
    <w:rPr>
      <w:rFonts w:ascii="楷体_GB2312" w:eastAsia="楷体_GB2312"/>
      <w:sz w:val="36"/>
    </w:rPr>
  </w:style>
  <w:style w:type="paragraph" w:customStyle="1" w:styleId="58">
    <w:name w:val="itb0"/>
    <w:basedOn w:val="57"/>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9">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60">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61">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2">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3">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4">
    <w:name w:val="itb3t"/>
    <w:basedOn w:val="60"/>
    <w:qFormat/>
    <w:uiPriority w:val="0"/>
    <w:pPr>
      <w:ind w:left="1785" w:firstLine="0"/>
    </w:pPr>
  </w:style>
  <w:style w:type="paragraph" w:customStyle="1" w:styleId="65">
    <w:name w:val="gcc"/>
    <w:basedOn w:val="57"/>
    <w:qFormat/>
    <w:uiPriority w:val="0"/>
  </w:style>
  <w:style w:type="paragraph" w:customStyle="1" w:styleId="66">
    <w:name w:val="gcc0"/>
    <w:basedOn w:val="58"/>
    <w:qFormat/>
    <w:uiPriority w:val="0"/>
  </w:style>
  <w:style w:type="paragraph" w:customStyle="1" w:styleId="67">
    <w:name w:val="gcc1"/>
    <w:basedOn w:val="59"/>
    <w:qFormat/>
    <w:uiPriority w:val="0"/>
    <w:pPr>
      <w:ind w:left="527"/>
    </w:pPr>
  </w:style>
  <w:style w:type="paragraph" w:customStyle="1" w:styleId="68">
    <w:name w:val="gcc1t"/>
    <w:basedOn w:val="5"/>
    <w:qFormat/>
    <w:uiPriority w:val="0"/>
    <w:pPr>
      <w:spacing w:line="360" w:lineRule="auto"/>
      <w:ind w:left="525" w:firstLine="0"/>
    </w:pPr>
    <w:rPr>
      <w:rFonts w:eastAsia="楷体_GB2312"/>
      <w:sz w:val="24"/>
    </w:rPr>
  </w:style>
  <w:style w:type="paragraph" w:customStyle="1" w:styleId="69">
    <w:name w:val="gcc2"/>
    <w:basedOn w:val="60"/>
    <w:qFormat/>
    <w:uiPriority w:val="0"/>
    <w:pPr>
      <w:ind w:left="525" w:hanging="525"/>
    </w:pPr>
  </w:style>
  <w:style w:type="paragraph" w:customStyle="1" w:styleId="70">
    <w:name w:val="gcc3"/>
    <w:basedOn w:val="61"/>
    <w:qFormat/>
    <w:uiPriority w:val="0"/>
    <w:pPr>
      <w:ind w:left="947" w:hanging="420"/>
    </w:pPr>
    <w:rPr>
      <w:spacing w:val="6"/>
    </w:rPr>
  </w:style>
  <w:style w:type="paragraph" w:customStyle="1" w:styleId="71">
    <w:name w:val="gcc4t"/>
    <w:basedOn w:val="70"/>
    <w:qFormat/>
    <w:uiPriority w:val="0"/>
    <w:pPr>
      <w:ind w:left="945" w:firstLine="0"/>
    </w:pPr>
  </w:style>
  <w:style w:type="paragraph" w:customStyle="1" w:styleId="72">
    <w:name w:val="gcc4"/>
    <w:basedOn w:val="62"/>
    <w:qFormat/>
    <w:uiPriority w:val="0"/>
    <w:pPr>
      <w:ind w:left="945" w:hanging="420"/>
    </w:pPr>
  </w:style>
  <w:style w:type="paragraph" w:customStyle="1" w:styleId="73">
    <w:name w:val="cf"/>
    <w:basedOn w:val="57"/>
    <w:qFormat/>
    <w:uiPriority w:val="0"/>
    <w:pPr>
      <w:spacing w:before="0" w:after="0" w:line="415" w:lineRule="auto"/>
    </w:pPr>
  </w:style>
  <w:style w:type="paragraph" w:customStyle="1" w:styleId="74">
    <w:name w:val="cft"/>
    <w:basedOn w:val="68"/>
    <w:qFormat/>
    <w:uiPriority w:val="0"/>
    <w:pPr>
      <w:ind w:left="0"/>
    </w:pPr>
  </w:style>
  <w:style w:type="paragraph" w:customStyle="1" w:styleId="75">
    <w:name w:val="cf1"/>
    <w:basedOn w:val="59"/>
    <w:qFormat/>
    <w:uiPriority w:val="0"/>
    <w:rPr>
      <w:b w:val="0"/>
      <w:bCs w:val="0"/>
    </w:rPr>
  </w:style>
  <w:style w:type="paragraph" w:customStyle="1" w:styleId="76">
    <w:name w:val="cf2"/>
    <w:basedOn w:val="69"/>
    <w:qFormat/>
    <w:uiPriority w:val="0"/>
  </w:style>
  <w:style w:type="paragraph" w:customStyle="1" w:styleId="77">
    <w:name w:val="cf2t"/>
    <w:basedOn w:val="5"/>
    <w:qFormat/>
    <w:uiPriority w:val="0"/>
    <w:pPr>
      <w:spacing w:line="360" w:lineRule="auto"/>
      <w:ind w:left="1260" w:firstLine="0"/>
    </w:pPr>
    <w:rPr>
      <w:rFonts w:ascii="楷体_GB2312" w:eastAsia="楷体_GB2312"/>
      <w:sz w:val="24"/>
    </w:rPr>
  </w:style>
  <w:style w:type="paragraph" w:customStyle="1" w:styleId="78">
    <w:name w:val="at"/>
    <w:basedOn w:val="57"/>
    <w:qFormat/>
    <w:uiPriority w:val="0"/>
  </w:style>
  <w:style w:type="paragraph" w:customStyle="1" w:styleId="79">
    <w:name w:val="at0"/>
    <w:basedOn w:val="65"/>
    <w:qFormat/>
    <w:uiPriority w:val="0"/>
    <w:pPr>
      <w:spacing w:before="0" w:after="0" w:line="415" w:lineRule="auto"/>
    </w:pPr>
  </w:style>
  <w:style w:type="paragraph" w:customStyle="1" w:styleId="80">
    <w:name w:val="att"/>
    <w:basedOn w:val="74"/>
    <w:qFormat/>
    <w:uiPriority w:val="0"/>
  </w:style>
  <w:style w:type="paragraph" w:customStyle="1" w:styleId="81">
    <w:name w:val="at1"/>
    <w:basedOn w:val="67"/>
    <w:qFormat/>
    <w:uiPriority w:val="0"/>
    <w:rPr>
      <w:b w:val="0"/>
      <w:bCs w:val="0"/>
    </w:rPr>
  </w:style>
  <w:style w:type="paragraph" w:customStyle="1" w:styleId="82">
    <w:name w:val="at2"/>
    <w:basedOn w:val="69"/>
    <w:qFormat/>
    <w:uiPriority w:val="0"/>
    <w:pPr>
      <w:tabs>
        <w:tab w:val="left" w:pos="8295"/>
      </w:tabs>
    </w:pPr>
  </w:style>
  <w:style w:type="paragraph" w:customStyle="1" w:styleId="83">
    <w:name w:val="at3"/>
    <w:basedOn w:val="70"/>
    <w:qFormat/>
    <w:uiPriority w:val="0"/>
    <w:pPr>
      <w:tabs>
        <w:tab w:val="left" w:pos="8295"/>
      </w:tabs>
    </w:pPr>
  </w:style>
  <w:style w:type="paragraph" w:customStyle="1" w:styleId="84">
    <w:name w:val="ifb"/>
    <w:basedOn w:val="57"/>
    <w:qFormat/>
    <w:uiPriority w:val="0"/>
    <w:pPr>
      <w:spacing w:before="0" w:after="0" w:line="360" w:lineRule="auto"/>
    </w:pPr>
  </w:style>
  <w:style w:type="paragraph" w:customStyle="1" w:styleId="85">
    <w:name w:val="ifb-1"/>
    <w:basedOn w:val="1"/>
    <w:qFormat/>
    <w:uiPriority w:val="0"/>
    <w:pPr>
      <w:ind w:left="420" w:hanging="420"/>
    </w:pPr>
    <w:rPr>
      <w:rFonts w:ascii="楷体_GB2312" w:hAnsi="Times New Roman" w:eastAsia="楷体_GB2312" w:cs="Times New Roman"/>
      <w:szCs w:val="20"/>
    </w:rPr>
  </w:style>
  <w:style w:type="paragraph" w:customStyle="1" w:styleId="86">
    <w:name w:val="cf0"/>
    <w:basedOn w:val="73"/>
    <w:qFormat/>
    <w:uiPriority w:val="0"/>
  </w:style>
  <w:style w:type="paragraph" w:customStyle="1" w:styleId="87">
    <w:name w:val="sor"/>
    <w:basedOn w:val="84"/>
    <w:qFormat/>
    <w:uiPriority w:val="0"/>
  </w:style>
  <w:style w:type="paragraph" w:customStyle="1" w:styleId="88">
    <w:name w:val="itb-1.1.a"/>
    <w:basedOn w:val="1"/>
    <w:qFormat/>
    <w:uiPriority w:val="0"/>
    <w:pPr>
      <w:ind w:left="1470" w:hanging="525"/>
    </w:pPr>
    <w:rPr>
      <w:rFonts w:ascii="楷体_GB2312" w:hAnsi="Times New Roman" w:eastAsia="楷体_GB2312" w:cs="Times New Roman"/>
      <w:szCs w:val="20"/>
    </w:rPr>
  </w:style>
  <w:style w:type="paragraph" w:customStyle="1" w:styleId="89">
    <w:name w:val="atoo"/>
    <w:basedOn w:val="79"/>
    <w:qFormat/>
    <w:uiPriority w:val="0"/>
  </w:style>
  <w:style w:type="paragraph" w:customStyle="1" w:styleId="90">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91">
    <w:name w:val="itb2t"/>
    <w:basedOn w:val="60"/>
    <w:qFormat/>
    <w:uiPriority w:val="0"/>
    <w:pPr>
      <w:ind w:left="1157" w:firstLine="0"/>
    </w:pPr>
  </w:style>
  <w:style w:type="paragraph" w:customStyle="1" w:styleId="92">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3">
    <w:name w:val="bds"/>
    <w:basedOn w:val="57"/>
    <w:qFormat/>
    <w:uiPriority w:val="0"/>
    <w:pPr>
      <w:autoSpaceDE w:val="0"/>
      <w:autoSpaceDN w:val="0"/>
      <w:spacing w:line="360" w:lineRule="exact"/>
    </w:pPr>
    <w:rPr>
      <w:rFonts w:ascii="Times New Roman" w:eastAsia="华文仿宋"/>
    </w:rPr>
  </w:style>
  <w:style w:type="paragraph" w:customStyle="1" w:styleId="94">
    <w:name w:val="cbds"/>
    <w:basedOn w:val="93"/>
    <w:qFormat/>
    <w:uiPriority w:val="0"/>
  </w:style>
  <w:style w:type="paragraph" w:customStyle="1" w:styleId="95">
    <w:name w:val="scc-14.5.1"/>
    <w:basedOn w:val="96"/>
    <w:qFormat/>
    <w:uiPriority w:val="0"/>
    <w:pPr>
      <w:spacing w:line="360" w:lineRule="exact"/>
      <w:ind w:left="1467" w:hanging="840"/>
    </w:pPr>
  </w:style>
  <w:style w:type="paragraph" w:customStyle="1" w:styleId="96">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7">
    <w:name w:val="scc-14.5.1.a"/>
    <w:basedOn w:val="98"/>
    <w:qFormat/>
    <w:uiPriority w:val="0"/>
    <w:pPr>
      <w:spacing w:line="360" w:lineRule="exact"/>
      <w:ind w:left="1992" w:hanging="525"/>
    </w:pPr>
  </w:style>
  <w:style w:type="paragraph" w:customStyle="1" w:styleId="98">
    <w:name w:val="SCC-1.1.1.1"/>
    <w:basedOn w:val="96"/>
    <w:qFormat/>
    <w:uiPriority w:val="0"/>
    <w:pPr>
      <w:ind w:left="1890" w:hanging="420"/>
    </w:pPr>
  </w:style>
  <w:style w:type="paragraph" w:customStyle="1" w:styleId="99">
    <w:name w:val="scc-14.5.1.a.i"/>
    <w:basedOn w:val="100"/>
    <w:qFormat/>
    <w:uiPriority w:val="0"/>
    <w:pPr>
      <w:spacing w:line="360" w:lineRule="exact"/>
      <w:ind w:left="2517" w:hanging="525"/>
    </w:pPr>
  </w:style>
  <w:style w:type="paragraph" w:customStyle="1" w:styleId="100">
    <w:name w:val="scc-1.1.1.1.1"/>
    <w:basedOn w:val="98"/>
    <w:qFormat/>
    <w:uiPriority w:val="0"/>
    <w:pPr>
      <w:ind w:left="2205" w:hanging="315"/>
    </w:pPr>
  </w:style>
  <w:style w:type="paragraph" w:customStyle="1" w:styleId="101">
    <w:name w:val="scc-1.1"/>
    <w:basedOn w:val="102"/>
    <w:qFormat/>
    <w:uiPriority w:val="0"/>
    <w:pPr>
      <w:ind w:left="947" w:hanging="527"/>
    </w:pPr>
    <w:rPr>
      <w:rFonts w:ascii="楷体_GB2312"/>
    </w:rPr>
  </w:style>
  <w:style w:type="paragraph" w:customStyle="1" w:styleId="102">
    <w:name w:val="gcc-1.1"/>
    <w:basedOn w:val="103"/>
    <w:qFormat/>
    <w:uiPriority w:val="0"/>
    <w:pPr>
      <w:spacing w:line="400" w:lineRule="atLeast"/>
    </w:pPr>
    <w:rPr>
      <w:rFonts w:ascii="Times New Roman"/>
      <w:sz w:val="24"/>
    </w:rPr>
  </w:style>
  <w:style w:type="paragraph" w:customStyle="1" w:styleId="103">
    <w:name w:val="itb-1.1"/>
    <w:basedOn w:val="1"/>
    <w:qFormat/>
    <w:uiPriority w:val="0"/>
    <w:pPr>
      <w:ind w:left="945" w:hanging="525"/>
    </w:pPr>
    <w:rPr>
      <w:rFonts w:ascii="楷体_GB2312" w:hAnsi="Times New Roman" w:eastAsia="楷体_GB2312" w:cs="Times New Roman"/>
      <w:szCs w:val="20"/>
    </w:rPr>
  </w:style>
  <w:style w:type="character" w:customStyle="1" w:styleId="104">
    <w:name w:val="正文文本 Char"/>
    <w:basedOn w:val="34"/>
    <w:link w:val="15"/>
    <w:qFormat/>
    <w:uiPriority w:val="0"/>
    <w:rPr>
      <w:rFonts w:ascii="Times New Roman" w:hAnsi="Times New Roman" w:eastAsia="宋体" w:cs="Times New Roman"/>
      <w:szCs w:val="20"/>
    </w:rPr>
  </w:style>
  <w:style w:type="character" w:customStyle="1" w:styleId="105">
    <w:name w:val="正文文本缩进 Char"/>
    <w:basedOn w:val="34"/>
    <w:link w:val="16"/>
    <w:qFormat/>
    <w:uiPriority w:val="0"/>
    <w:rPr>
      <w:rFonts w:ascii="Times New Roman" w:hAnsi="Times New Roman" w:eastAsia="宋体" w:cs="Times New Roman"/>
      <w:szCs w:val="20"/>
    </w:rPr>
  </w:style>
  <w:style w:type="character" w:customStyle="1" w:styleId="106">
    <w:name w:val="副标题 Char"/>
    <w:basedOn w:val="34"/>
    <w:link w:val="24"/>
    <w:qFormat/>
    <w:uiPriority w:val="0"/>
    <w:rPr>
      <w:rFonts w:ascii="Arial" w:hAnsi="Arial" w:eastAsia="宋体" w:cs="Arial"/>
      <w:b/>
      <w:bCs/>
      <w:kern w:val="28"/>
      <w:sz w:val="32"/>
      <w:szCs w:val="32"/>
    </w:rPr>
  </w:style>
  <w:style w:type="character" w:customStyle="1" w:styleId="107">
    <w:name w:val="正文文本 2 Char"/>
    <w:basedOn w:val="34"/>
    <w:link w:val="27"/>
    <w:qFormat/>
    <w:uiPriority w:val="0"/>
    <w:rPr>
      <w:rFonts w:ascii="楷体_GB2312" w:hAnsi="Times New Roman" w:eastAsia="楷体_GB2312" w:cs="Times New Roman"/>
      <w:b/>
      <w:sz w:val="72"/>
      <w:szCs w:val="20"/>
    </w:rPr>
  </w:style>
  <w:style w:type="paragraph" w:customStyle="1" w:styleId="108">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9">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10">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11">
    <w:name w:val="正文文本缩进 2 Char"/>
    <w:basedOn w:val="34"/>
    <w:link w:val="20"/>
    <w:qFormat/>
    <w:uiPriority w:val="0"/>
    <w:rPr>
      <w:rFonts w:ascii="华文仿宋" w:hAnsi="华文仿宋" w:eastAsia="华文仿宋" w:cs="Times New Roman"/>
      <w:sz w:val="32"/>
      <w:szCs w:val="20"/>
    </w:rPr>
  </w:style>
  <w:style w:type="character" w:customStyle="1" w:styleId="112">
    <w:name w:val="批注框文本 Char"/>
    <w:basedOn w:val="34"/>
    <w:link w:val="21"/>
    <w:semiHidden/>
    <w:qFormat/>
    <w:uiPriority w:val="0"/>
    <w:rPr>
      <w:rFonts w:ascii="Times New Roman" w:hAnsi="Times New Roman" w:eastAsia="宋体" w:cs="Times New Roman"/>
      <w:sz w:val="18"/>
      <w:szCs w:val="18"/>
    </w:rPr>
  </w:style>
  <w:style w:type="character" w:customStyle="1" w:styleId="113">
    <w:name w:val="正文文本缩进 3 Char"/>
    <w:basedOn w:val="34"/>
    <w:link w:val="26"/>
    <w:qFormat/>
    <w:uiPriority w:val="0"/>
    <w:rPr>
      <w:rFonts w:ascii="华文仿宋" w:hAnsi="华文仿宋" w:eastAsia="华文仿宋" w:cs="Times New Roman"/>
      <w:sz w:val="24"/>
      <w:szCs w:val="20"/>
    </w:rPr>
  </w:style>
  <w:style w:type="paragraph" w:customStyle="1" w:styleId="114">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5">
    <w:name w:val="Char Char"/>
    <w:qFormat/>
    <w:uiPriority w:val="0"/>
    <w:rPr>
      <w:rFonts w:ascii="宋体" w:eastAsia="宋体"/>
      <w:b/>
      <w:kern w:val="2"/>
      <w:sz w:val="36"/>
      <w:lang w:val="en-US" w:eastAsia="zh-CN" w:bidi="ar-SA"/>
    </w:rPr>
  </w:style>
  <w:style w:type="character" w:customStyle="1" w:styleId="116">
    <w:name w:val="Char Char1"/>
    <w:qFormat/>
    <w:uiPriority w:val="0"/>
    <w:rPr>
      <w:rFonts w:eastAsia="宋体"/>
      <w:kern w:val="2"/>
      <w:sz w:val="18"/>
      <w:lang w:val="en-US" w:eastAsia="zh-CN" w:bidi="ar-SA"/>
    </w:rPr>
  </w:style>
  <w:style w:type="character" w:customStyle="1" w:styleId="117">
    <w:name w:val="Char Char7"/>
    <w:qFormat/>
    <w:uiPriority w:val="0"/>
    <w:rPr>
      <w:rFonts w:ascii="Arial" w:hAnsi="Arial" w:eastAsia="黑体"/>
      <w:b/>
      <w:bCs/>
      <w:kern w:val="2"/>
      <w:sz w:val="28"/>
      <w:szCs w:val="28"/>
      <w:lang w:val="en-US" w:eastAsia="zh-CN" w:bidi="ar-SA"/>
    </w:rPr>
  </w:style>
  <w:style w:type="character" w:customStyle="1" w:styleId="118">
    <w:name w:val="Char Char6"/>
    <w:qFormat/>
    <w:uiPriority w:val="0"/>
    <w:rPr>
      <w:rFonts w:eastAsia="宋体"/>
      <w:b/>
      <w:bCs/>
      <w:kern w:val="2"/>
      <w:sz w:val="28"/>
      <w:szCs w:val="28"/>
      <w:lang w:val="en-US" w:eastAsia="zh-CN" w:bidi="ar-SA"/>
    </w:rPr>
  </w:style>
  <w:style w:type="character" w:customStyle="1" w:styleId="119">
    <w:name w:val="Char Char5"/>
    <w:qFormat/>
    <w:uiPriority w:val="0"/>
    <w:rPr>
      <w:rFonts w:ascii="Arial" w:hAnsi="Arial" w:eastAsia="黑体"/>
      <w:b/>
      <w:bCs/>
      <w:kern w:val="2"/>
      <w:sz w:val="24"/>
      <w:szCs w:val="24"/>
      <w:lang w:val="en-US" w:eastAsia="zh-CN" w:bidi="ar-SA"/>
    </w:rPr>
  </w:style>
  <w:style w:type="character" w:customStyle="1" w:styleId="120">
    <w:name w:val="Char Char4"/>
    <w:qFormat/>
    <w:uiPriority w:val="0"/>
    <w:rPr>
      <w:rFonts w:eastAsia="宋体"/>
      <w:b/>
      <w:bCs/>
      <w:kern w:val="2"/>
      <w:sz w:val="24"/>
      <w:szCs w:val="24"/>
      <w:lang w:val="en-US" w:eastAsia="zh-CN" w:bidi="ar-SA"/>
    </w:rPr>
  </w:style>
  <w:style w:type="character" w:customStyle="1" w:styleId="121">
    <w:name w:val="Char Char3"/>
    <w:qFormat/>
    <w:uiPriority w:val="0"/>
    <w:rPr>
      <w:rFonts w:ascii="Arial" w:hAnsi="Arial" w:eastAsia="黑体"/>
      <w:kern w:val="2"/>
      <w:sz w:val="24"/>
      <w:szCs w:val="24"/>
      <w:lang w:val="en-US" w:eastAsia="zh-CN" w:bidi="ar-SA"/>
    </w:rPr>
  </w:style>
  <w:style w:type="character" w:customStyle="1" w:styleId="122">
    <w:name w:val="Char Char2"/>
    <w:qFormat/>
    <w:uiPriority w:val="0"/>
    <w:rPr>
      <w:rFonts w:ascii="Arial" w:hAnsi="Arial" w:eastAsia="黑体"/>
      <w:kern w:val="2"/>
      <w:sz w:val="21"/>
      <w:szCs w:val="21"/>
      <w:lang w:val="en-US" w:eastAsia="zh-CN" w:bidi="ar-SA"/>
    </w:rPr>
  </w:style>
  <w:style w:type="paragraph" w:customStyle="1" w:styleId="123">
    <w:name w:val="样式1"/>
    <w:basedOn w:val="1"/>
    <w:qFormat/>
    <w:uiPriority w:val="0"/>
    <w:pPr>
      <w:spacing w:line="360" w:lineRule="auto"/>
    </w:pPr>
    <w:rPr>
      <w:rFonts w:ascii="宋体" w:hAnsi="宋体" w:eastAsia="宋体" w:cs="Times New Roman"/>
      <w:sz w:val="24"/>
      <w:szCs w:val="24"/>
    </w:rPr>
  </w:style>
  <w:style w:type="paragraph" w:customStyle="1" w:styleId="124">
    <w:name w:val="样式2"/>
    <w:basedOn w:val="1"/>
    <w:qFormat/>
    <w:uiPriority w:val="0"/>
    <w:pPr>
      <w:spacing w:line="360" w:lineRule="auto"/>
      <w:ind w:left="360"/>
    </w:pPr>
    <w:rPr>
      <w:rFonts w:ascii="宋体" w:hAnsi="宋体" w:eastAsia="宋体" w:cs="Times New Roman"/>
      <w:sz w:val="24"/>
      <w:szCs w:val="24"/>
    </w:rPr>
  </w:style>
  <w:style w:type="character" w:customStyle="1" w:styleId="125">
    <w:name w:val="样式2 Char"/>
    <w:qFormat/>
    <w:uiPriority w:val="0"/>
    <w:rPr>
      <w:rFonts w:ascii="宋体" w:hAnsi="宋体" w:eastAsia="宋体"/>
      <w:kern w:val="2"/>
      <w:sz w:val="24"/>
      <w:szCs w:val="24"/>
      <w:lang w:val="en-US" w:eastAsia="zh-CN" w:bidi="ar-SA"/>
    </w:rPr>
  </w:style>
  <w:style w:type="character" w:customStyle="1" w:styleId="126">
    <w:name w:val="普通文字1 Char"/>
    <w:qFormat/>
    <w:uiPriority w:val="0"/>
    <w:rPr>
      <w:rFonts w:ascii="宋体" w:hAnsi="Courier New" w:eastAsia="宋体"/>
      <w:kern w:val="2"/>
      <w:sz w:val="21"/>
      <w:lang w:val="en-US" w:eastAsia="zh-CN" w:bidi="ar-SA"/>
    </w:rPr>
  </w:style>
  <w:style w:type="character" w:customStyle="1" w:styleId="127">
    <w:name w:val="批注文字 Char"/>
    <w:basedOn w:val="34"/>
    <w:link w:val="13"/>
    <w:semiHidden/>
    <w:qFormat/>
    <w:uiPriority w:val="0"/>
    <w:rPr>
      <w:rFonts w:ascii="Times New Roman" w:hAnsi="Times New Roman" w:eastAsia="宋体" w:cs="Times New Roman"/>
      <w:kern w:val="0"/>
      <w:sz w:val="24"/>
      <w:szCs w:val="20"/>
    </w:rPr>
  </w:style>
  <w:style w:type="paragraph" w:customStyle="1" w:styleId="128">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9">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30">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31">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2">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3">
    <w:name w:val="标4"/>
    <w:basedOn w:val="129"/>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4">
    <w:name w:val="标题 Char"/>
    <w:basedOn w:val="34"/>
    <w:link w:val="30"/>
    <w:qFormat/>
    <w:uiPriority w:val="0"/>
    <w:rPr>
      <w:rFonts w:ascii="Arial" w:hAnsi="Arial" w:eastAsia="黑体" w:cs="Times New Roman"/>
      <w:b/>
      <w:sz w:val="36"/>
      <w:szCs w:val="20"/>
    </w:rPr>
  </w:style>
  <w:style w:type="character" w:customStyle="1" w:styleId="135">
    <w:name w:val="正文文本 Char1"/>
    <w:qFormat/>
    <w:uiPriority w:val="0"/>
    <w:rPr>
      <w:kern w:val="2"/>
      <w:sz w:val="21"/>
      <w:szCs w:val="24"/>
    </w:rPr>
  </w:style>
  <w:style w:type="character" w:customStyle="1" w:styleId="136">
    <w:name w:val="Footer Char"/>
    <w:qFormat/>
    <w:uiPriority w:val="0"/>
    <w:rPr>
      <w:rFonts w:ascii="Times New Roman" w:hAnsi="Times New Roman" w:cs="Times New Roman"/>
      <w:sz w:val="18"/>
      <w:szCs w:val="18"/>
    </w:rPr>
  </w:style>
  <w:style w:type="paragraph" w:customStyle="1" w:styleId="137">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8">
    <w:name w:val="Body Text Indent Char"/>
    <w:qFormat/>
    <w:uiPriority w:val="0"/>
    <w:rPr>
      <w:rFonts w:ascii="Times New Roman" w:hAnsi="Times New Roman" w:eastAsia="宋体" w:cs="Times New Roman"/>
      <w:sz w:val="24"/>
      <w:szCs w:val="24"/>
    </w:rPr>
  </w:style>
  <w:style w:type="character" w:customStyle="1" w:styleId="139">
    <w:name w:val="Heading 1 Char"/>
    <w:qFormat/>
    <w:uiPriority w:val="0"/>
    <w:rPr>
      <w:rFonts w:ascii="Times New Roman" w:hAnsi="Times New Roman" w:cs="Times New Roman"/>
      <w:b/>
      <w:bCs/>
      <w:kern w:val="44"/>
      <w:sz w:val="44"/>
      <w:szCs w:val="44"/>
    </w:rPr>
  </w:style>
  <w:style w:type="character" w:customStyle="1" w:styleId="140">
    <w:name w:val="Heading 2 Char"/>
    <w:qFormat/>
    <w:uiPriority w:val="0"/>
    <w:rPr>
      <w:rFonts w:ascii="Cambria" w:hAnsi="Cambria" w:eastAsia="宋体" w:cs="Cambria"/>
      <w:b/>
      <w:bCs/>
      <w:sz w:val="32"/>
      <w:szCs w:val="32"/>
    </w:rPr>
  </w:style>
  <w:style w:type="character" w:customStyle="1" w:styleId="141">
    <w:name w:val="Heading 3 Char"/>
    <w:qFormat/>
    <w:uiPriority w:val="0"/>
    <w:rPr>
      <w:rFonts w:ascii="Times New Roman" w:hAnsi="Times New Roman" w:cs="Times New Roman"/>
      <w:b/>
      <w:bCs/>
      <w:sz w:val="32"/>
      <w:szCs w:val="32"/>
    </w:rPr>
  </w:style>
  <w:style w:type="character" w:customStyle="1" w:styleId="142">
    <w:name w:val="Heading 4 Char"/>
    <w:qFormat/>
    <w:uiPriority w:val="0"/>
    <w:rPr>
      <w:rFonts w:ascii="Cambria" w:hAnsi="Cambria" w:eastAsia="宋体" w:cs="Cambria"/>
      <w:b/>
      <w:bCs/>
      <w:sz w:val="28"/>
      <w:szCs w:val="28"/>
    </w:rPr>
  </w:style>
  <w:style w:type="character" w:customStyle="1" w:styleId="143">
    <w:name w:val="Heading 5 Char"/>
    <w:qFormat/>
    <w:uiPriority w:val="0"/>
    <w:rPr>
      <w:rFonts w:ascii="Times New Roman" w:hAnsi="Times New Roman" w:cs="Times New Roman"/>
      <w:b/>
      <w:bCs/>
      <w:sz w:val="28"/>
      <w:szCs w:val="28"/>
    </w:rPr>
  </w:style>
  <w:style w:type="character" w:customStyle="1" w:styleId="144">
    <w:name w:val="Heading 6 Char"/>
    <w:qFormat/>
    <w:uiPriority w:val="0"/>
    <w:rPr>
      <w:rFonts w:ascii="Cambria" w:hAnsi="Cambria" w:eastAsia="宋体" w:cs="Cambria"/>
      <w:b/>
      <w:bCs/>
      <w:sz w:val="24"/>
      <w:szCs w:val="24"/>
    </w:rPr>
  </w:style>
  <w:style w:type="character" w:customStyle="1" w:styleId="145">
    <w:name w:val="Heading 7 Char"/>
    <w:qFormat/>
    <w:uiPriority w:val="0"/>
    <w:rPr>
      <w:rFonts w:ascii="Times New Roman" w:hAnsi="Times New Roman" w:cs="Times New Roman"/>
      <w:b/>
      <w:bCs/>
      <w:sz w:val="24"/>
      <w:szCs w:val="24"/>
    </w:rPr>
  </w:style>
  <w:style w:type="character" w:customStyle="1" w:styleId="146">
    <w:name w:val="Heading 8 Char"/>
    <w:qFormat/>
    <w:uiPriority w:val="0"/>
    <w:rPr>
      <w:rFonts w:ascii="Cambria" w:hAnsi="Cambria" w:eastAsia="宋体" w:cs="Cambria"/>
      <w:sz w:val="24"/>
      <w:szCs w:val="24"/>
    </w:rPr>
  </w:style>
  <w:style w:type="character" w:customStyle="1" w:styleId="147">
    <w:name w:val="Heading 9 Char"/>
    <w:qFormat/>
    <w:uiPriority w:val="0"/>
    <w:rPr>
      <w:rFonts w:ascii="Cambria" w:hAnsi="Cambria" w:eastAsia="宋体" w:cs="Cambria"/>
      <w:sz w:val="21"/>
      <w:szCs w:val="21"/>
    </w:rPr>
  </w:style>
  <w:style w:type="character" w:customStyle="1" w:styleId="148">
    <w:name w:val="Body Text Char"/>
    <w:qFormat/>
    <w:uiPriority w:val="0"/>
    <w:rPr>
      <w:rFonts w:ascii="Times New Roman" w:hAnsi="Times New Roman" w:cs="Times New Roman"/>
      <w:sz w:val="24"/>
      <w:szCs w:val="24"/>
    </w:rPr>
  </w:style>
  <w:style w:type="character" w:customStyle="1" w:styleId="149">
    <w:name w:val="Body Text 2 Char"/>
    <w:qFormat/>
    <w:uiPriority w:val="0"/>
    <w:rPr>
      <w:rFonts w:ascii="Times New Roman" w:hAnsi="Times New Roman" w:cs="Times New Roman"/>
      <w:sz w:val="24"/>
      <w:szCs w:val="24"/>
    </w:rPr>
  </w:style>
  <w:style w:type="character" w:customStyle="1" w:styleId="150">
    <w:name w:val="Body Text 3 Char"/>
    <w:qFormat/>
    <w:uiPriority w:val="0"/>
    <w:rPr>
      <w:rFonts w:ascii="Times New Roman" w:hAnsi="Times New Roman" w:cs="Times New Roman"/>
      <w:sz w:val="16"/>
      <w:szCs w:val="16"/>
    </w:rPr>
  </w:style>
  <w:style w:type="character" w:customStyle="1" w:styleId="151">
    <w:name w:val="Title Char"/>
    <w:qFormat/>
    <w:uiPriority w:val="0"/>
    <w:rPr>
      <w:rFonts w:ascii="Cambria" w:hAnsi="Cambria" w:cs="Cambria"/>
      <w:b/>
      <w:bCs/>
      <w:sz w:val="32"/>
      <w:szCs w:val="32"/>
    </w:rPr>
  </w:style>
  <w:style w:type="character" w:customStyle="1" w:styleId="152">
    <w:name w:val="Subtitle Char"/>
    <w:qFormat/>
    <w:uiPriority w:val="0"/>
    <w:rPr>
      <w:rFonts w:ascii="Cambria" w:hAnsi="Cambria" w:cs="Cambria"/>
      <w:b/>
      <w:bCs/>
      <w:kern w:val="28"/>
      <w:sz w:val="32"/>
      <w:szCs w:val="32"/>
    </w:rPr>
  </w:style>
  <w:style w:type="character" w:customStyle="1" w:styleId="153">
    <w:name w:val="Plain Text Char"/>
    <w:qFormat/>
    <w:uiPriority w:val="0"/>
    <w:rPr>
      <w:rFonts w:ascii="宋体" w:eastAsia="宋体" w:cs="宋体"/>
      <w:sz w:val="21"/>
      <w:szCs w:val="21"/>
    </w:rPr>
  </w:style>
  <w:style w:type="character" w:customStyle="1" w:styleId="154">
    <w:name w:val="Body Text Indent 2 Char"/>
    <w:qFormat/>
    <w:uiPriority w:val="0"/>
    <w:rPr>
      <w:rFonts w:ascii="Times New Roman" w:hAnsi="Times New Roman" w:cs="Times New Roman"/>
      <w:sz w:val="24"/>
      <w:szCs w:val="24"/>
    </w:rPr>
  </w:style>
  <w:style w:type="character" w:customStyle="1" w:styleId="155">
    <w:name w:val="Body Text Indent 3 Char"/>
    <w:qFormat/>
    <w:uiPriority w:val="0"/>
    <w:rPr>
      <w:rFonts w:ascii="Times New Roman" w:hAnsi="Times New Roman" w:cs="Times New Roman"/>
      <w:sz w:val="16"/>
      <w:szCs w:val="16"/>
    </w:rPr>
  </w:style>
  <w:style w:type="character" w:customStyle="1" w:styleId="156">
    <w:name w:val="Header Char"/>
    <w:qFormat/>
    <w:uiPriority w:val="0"/>
    <w:rPr>
      <w:rFonts w:ascii="Times New Roman" w:hAnsi="Times New Roman" w:cs="Times New Roman"/>
      <w:sz w:val="18"/>
      <w:szCs w:val="18"/>
    </w:rPr>
  </w:style>
  <w:style w:type="character" w:customStyle="1" w:styleId="157">
    <w:name w:val="Date Char"/>
    <w:qFormat/>
    <w:uiPriority w:val="0"/>
    <w:rPr>
      <w:rFonts w:ascii="Times New Roman" w:hAnsi="Times New Roman" w:cs="Times New Roman"/>
      <w:sz w:val="24"/>
      <w:szCs w:val="24"/>
    </w:rPr>
  </w:style>
  <w:style w:type="character" w:customStyle="1" w:styleId="158">
    <w:name w:val="Balloon Text Char"/>
    <w:qFormat/>
    <w:uiPriority w:val="0"/>
    <w:rPr>
      <w:rFonts w:ascii="Times New Roman" w:hAnsi="Times New Roman" w:cs="Times New Roman"/>
      <w:sz w:val="2"/>
      <w:szCs w:val="2"/>
    </w:rPr>
  </w:style>
  <w:style w:type="paragraph" w:customStyle="1" w:styleId="159">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60">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61">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2">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3">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4">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5">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6">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7">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8">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9">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70">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71">
    <w:name w:val="H-TextFormat"/>
    <w:qFormat/>
    <w:uiPriority w:val="0"/>
    <w:pPr>
      <w:jc w:val="center"/>
    </w:pPr>
    <w:rPr>
      <w:rFonts w:ascii="Arial" w:hAnsi="Arial" w:eastAsia="宋体" w:cs="Arial"/>
      <w:sz w:val="22"/>
      <w:szCs w:val="22"/>
      <w:lang w:val="en-US" w:eastAsia="zh-CN" w:bidi="ar-SA"/>
    </w:rPr>
  </w:style>
  <w:style w:type="paragraph" w:customStyle="1" w:styleId="172">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3">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6">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7">
    <w:name w:val="正文文本 3 Char"/>
    <w:basedOn w:val="34"/>
    <w:link w:val="14"/>
    <w:qFormat/>
    <w:uiPriority w:val="0"/>
    <w:rPr>
      <w:rFonts w:ascii="Times New Roman" w:hAnsi="Times New Roman" w:eastAsia="宋体" w:cs="Times New Roman"/>
      <w:sz w:val="48"/>
      <w:szCs w:val="48"/>
    </w:rPr>
  </w:style>
  <w:style w:type="character" w:customStyle="1" w:styleId="178">
    <w:name w:val="批注主题 Char"/>
    <w:basedOn w:val="127"/>
    <w:link w:val="31"/>
    <w:qFormat/>
    <w:uiPriority w:val="0"/>
    <w:rPr>
      <w:rFonts w:ascii="Times New Roman" w:hAnsi="Times New Roman" w:eastAsia="宋体" w:cs="Times New Roman"/>
      <w:b/>
      <w:bCs/>
      <w:kern w:val="0"/>
      <w:sz w:val="24"/>
      <w:szCs w:val="24"/>
    </w:rPr>
  </w:style>
  <w:style w:type="paragraph" w:customStyle="1" w:styleId="179">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80">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81">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2">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6">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7">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2">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3">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4">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7">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8">
    <w:name w:val="表格文字"/>
    <w:basedOn w:val="1"/>
    <w:qFormat/>
    <w:uiPriority w:val="0"/>
    <w:pPr>
      <w:snapToGrid w:val="0"/>
      <w:spacing w:before="120"/>
    </w:pPr>
    <w:rPr>
      <w:rFonts w:ascii="Times New Roman" w:hAnsi="Times New Roman" w:eastAsia="宋体" w:cs="Times New Roman"/>
      <w:szCs w:val="21"/>
    </w:rPr>
  </w:style>
  <w:style w:type="paragraph" w:customStyle="1" w:styleId="19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0">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201">
    <w:name w:val="页脚 Char"/>
    <w:qFormat/>
    <w:uiPriority w:val="99"/>
    <w:rPr>
      <w:kern w:val="2"/>
      <w:sz w:val="18"/>
    </w:rPr>
  </w:style>
  <w:style w:type="character" w:customStyle="1" w:styleId="202">
    <w:name w:val="页眉 Char"/>
    <w:qFormat/>
    <w:uiPriority w:val="99"/>
    <w:rPr>
      <w:kern w:val="2"/>
      <w:sz w:val="18"/>
    </w:rPr>
  </w:style>
  <w:style w:type="character" w:customStyle="1" w:styleId="203">
    <w:name w:val="文档结构图 字符"/>
    <w:basedOn w:val="34"/>
    <w:semiHidden/>
    <w:qFormat/>
    <w:uiPriority w:val="99"/>
    <w:rPr>
      <w:rFonts w:ascii="Microsoft YaHei UI" w:eastAsia="Microsoft YaHei UI"/>
      <w:sz w:val="18"/>
      <w:szCs w:val="18"/>
    </w:rPr>
  </w:style>
  <w:style w:type="character" w:customStyle="1" w:styleId="204">
    <w:name w:val="文档结构图 Char"/>
    <w:link w:val="12"/>
    <w:qFormat/>
    <w:uiPriority w:val="0"/>
    <w:rPr>
      <w:rFonts w:ascii="宋体" w:hAnsi="Times New Roman" w:eastAsia="宋体" w:cs="Times New Roman"/>
      <w:sz w:val="18"/>
      <w:szCs w:val="18"/>
    </w:rPr>
  </w:style>
  <w:style w:type="character" w:customStyle="1" w:styleId="205">
    <w:name w:val="HTML 预设格式 字符"/>
    <w:basedOn w:val="34"/>
    <w:semiHidden/>
    <w:qFormat/>
    <w:uiPriority w:val="99"/>
    <w:rPr>
      <w:rFonts w:ascii="Courier New" w:hAnsi="Courier New" w:cs="Courier New"/>
      <w:sz w:val="20"/>
      <w:szCs w:val="20"/>
    </w:rPr>
  </w:style>
  <w:style w:type="character" w:customStyle="1" w:styleId="206">
    <w:name w:val="HTML 预设格式 Char"/>
    <w:link w:val="28"/>
    <w:qFormat/>
    <w:uiPriority w:val="99"/>
    <w:rPr>
      <w:rFonts w:ascii="宋体" w:hAnsi="宋体" w:eastAsia="宋体" w:cs="Times New Roman"/>
      <w:kern w:val="0"/>
      <w:sz w:val="24"/>
      <w:szCs w:val="24"/>
    </w:rPr>
  </w:style>
  <w:style w:type="paragraph" w:customStyle="1" w:styleId="207">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8">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9">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10">
    <w:name w:val="_Style 206"/>
    <w:basedOn w:val="1"/>
    <w:next w:val="56"/>
    <w:qFormat/>
    <w:uiPriority w:val="34"/>
    <w:pPr>
      <w:ind w:firstLine="420" w:firstLineChars="200"/>
    </w:pPr>
    <w:rPr>
      <w:rFonts w:ascii="Times New Roman" w:hAnsi="Times New Roman" w:eastAsia="宋体" w:cs="Times New Roman"/>
      <w:szCs w:val="24"/>
    </w:rPr>
  </w:style>
  <w:style w:type="character" w:customStyle="1" w:styleId="211">
    <w:name w:val="NormalCharacter"/>
    <w:qFormat/>
    <w:uiPriority w:val="0"/>
    <w:rPr>
      <w:rFonts w:ascii="Times New Roman" w:hAnsi="Times New Roman" w:eastAsia="宋体"/>
    </w:rPr>
  </w:style>
  <w:style w:type="paragraph" w:customStyle="1" w:styleId="212">
    <w:name w:val="Table Paragraph"/>
    <w:basedOn w:val="1"/>
    <w:qFormat/>
    <w:uiPriority w:val="1"/>
  </w:style>
  <w:style w:type="character" w:customStyle="1" w:styleId="213">
    <w:name w:val="fontstyle01"/>
    <w:basedOn w:val="34"/>
    <w:qFormat/>
    <w:uiPriority w:val="0"/>
    <w:rPr>
      <w:rFonts w:hint="eastAsia" w:ascii="宋体" w:hAnsi="宋体" w:eastAsia="宋体"/>
      <w:color w:val="000000"/>
      <w:sz w:val="18"/>
      <w:szCs w:val="18"/>
    </w:rPr>
  </w:style>
  <w:style w:type="character" w:customStyle="1" w:styleId="214">
    <w:name w:val="fontstyle21"/>
    <w:basedOn w:val="34"/>
    <w:qFormat/>
    <w:uiPriority w:val="0"/>
    <w:rPr>
      <w:rFonts w:hint="default" w:ascii="TimesNewRomanPSMT" w:hAnsi="TimesNewRomanPSMT"/>
      <w:color w:val="000000"/>
      <w:sz w:val="18"/>
      <w:szCs w:val="18"/>
    </w:rPr>
  </w:style>
  <w:style w:type="character" w:customStyle="1" w:styleId="215">
    <w:name w:val="font21"/>
    <w:basedOn w:val="34"/>
    <w:qFormat/>
    <w:uiPriority w:val="0"/>
    <w:rPr>
      <w:rFonts w:hint="eastAsia" w:ascii="微软雅黑" w:hAnsi="微软雅黑" w:eastAsia="微软雅黑" w:cs="微软雅黑"/>
      <w:color w:val="000000"/>
      <w:sz w:val="20"/>
      <w:szCs w:val="20"/>
      <w:u w:val="none"/>
    </w:rPr>
  </w:style>
  <w:style w:type="character" w:customStyle="1" w:styleId="216">
    <w:name w:val="font31"/>
    <w:basedOn w:val="34"/>
    <w:qFormat/>
    <w:uiPriority w:val="0"/>
    <w:rPr>
      <w:rFonts w:ascii="72" w:hAnsi="72" w:eastAsia="72" w:cs="72"/>
      <w:color w:val="000000"/>
      <w:sz w:val="20"/>
      <w:szCs w:val="20"/>
      <w:u w:val="none"/>
    </w:rPr>
  </w:style>
  <w:style w:type="paragraph" w:customStyle="1" w:styleId="217">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 w:type="character" w:customStyle="1" w:styleId="218">
    <w:name w:val="font01"/>
    <w:basedOn w:val="34"/>
    <w:qFormat/>
    <w:uiPriority w:val="0"/>
    <w:rPr>
      <w:rFonts w:hint="eastAsia" w:ascii="宋体" w:hAnsi="宋体" w:eastAsia="宋体" w:cs="宋体"/>
      <w:color w:val="000000"/>
      <w:sz w:val="22"/>
      <w:szCs w:val="22"/>
      <w:u w:val="none"/>
    </w:rPr>
  </w:style>
  <w:style w:type="paragraph" w:customStyle="1" w:styleId="219">
    <w:name w:val="Other|1"/>
    <w:basedOn w:val="1"/>
    <w:qFormat/>
    <w:uiPriority w:val="0"/>
    <w:pPr>
      <w:ind w:firstLine="420"/>
      <w:jc w:val="left"/>
    </w:pPr>
    <w:rPr>
      <w:rFonts w:ascii="宋体" w:hAnsi="宋体" w:cs="宋体"/>
      <w:kern w:val="0"/>
      <w:sz w:val="20"/>
      <w:szCs w:val="20"/>
      <w:lang w:val="zh-TW" w:eastAsia="zh-TW" w:bidi="zh-TW"/>
    </w:rPr>
  </w:style>
  <w:style w:type="paragraph" w:customStyle="1" w:styleId="220">
    <w:name w:val="Table Text"/>
    <w:basedOn w:val="1"/>
    <w:semiHidden/>
    <w:qFormat/>
    <w:uiPriority w:val="0"/>
    <w:rPr>
      <w:rFonts w:ascii="宋体" w:hAnsi="宋体" w:eastAsia="宋体" w:cs="宋体"/>
      <w:sz w:val="18"/>
      <w:szCs w:val="18"/>
      <w:lang w:val="en-US" w:eastAsia="en-US" w:bidi="ar-SA"/>
    </w:rPr>
  </w:style>
  <w:style w:type="table" w:customStyle="1" w:styleId="221">
    <w:name w:val="Table Normal"/>
    <w:unhideWhenUsed/>
    <w:qFormat/>
    <w:uiPriority w:val="0"/>
    <w:tblPr>
      <w:tblLayout w:type="fixed"/>
      <w:tblCellMar>
        <w:top w:w="0" w:type="dxa"/>
        <w:left w:w="0" w:type="dxa"/>
        <w:bottom w:w="0" w:type="dxa"/>
        <w:right w:w="0" w:type="dxa"/>
      </w:tblCellMar>
    </w:tbl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5610</Words>
  <Characters>6066</Characters>
  <Lines>12</Lines>
  <Paragraphs>17</Paragraphs>
  <TotalTime>39</TotalTime>
  <ScaleCrop>false</ScaleCrop>
  <LinksUpToDate>false</LinksUpToDate>
  <CharactersWithSpaces>6102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2025-07-14T02:59:25Z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50392405035949F99133AD1E507EB3CB_13</vt:lpwstr>
  </property>
  <property fmtid="{D5CDD505-2E9C-101B-9397-08002B2CF9AE}" pid="4" name="KSOTemplateDocerSaveRecord">
    <vt:lpwstr>eyJoZGlkIjoiMDY0MTM1YmQ5YzYyY2MzYzViYWIwOTc4NGFmODliNTEiLCJ1c2VySWQiOiIzNzExMzcyMTMifQ==</vt:lpwstr>
  </property>
</Properties>
</file>