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05</w:t>
      </w:r>
      <w:r>
        <w:rPr>
          <w:rFonts w:hint="eastAsia" w:ascii="Times New Roman" w:hAnsi="Times New Roman" w:eastAsia="宋体"/>
          <w:b/>
          <w:sz w:val="36"/>
          <w:szCs w:val="36"/>
          <w:highlight w:val="none"/>
        </w:rPr>
        <w:t>月</w:t>
      </w:r>
      <w:bookmarkStart w:id="2" w:name="_Toc11326092"/>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05"/>
      <w:bookmarkStart w:id="4" w:name="_Toc461613077"/>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智慧医院肿瘤综合诊治子系统建设项目-密码应用测评服务</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章“需求一览表及技术规格”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84"/>
      <w:bookmarkStart w:id="6"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03</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06</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6"/>
      <w:bookmarkStart w:id="8" w:name="OLE_LINK11"/>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516880880"/>
      <w:bookmarkStart w:id="10" w:name="_Toc11326093"/>
      <w:bookmarkStart w:id="11" w:name="_Toc9066359"/>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智慧医院肿瘤综合诊治子系统建设项目-密码应用测评服务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2</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3</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keepNext w:val="0"/>
              <w:keepLines w:val="0"/>
              <w:widowControl/>
              <w:suppressLineNumbers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w:t>
            </w:r>
            <w:r>
              <w:rPr>
                <w:rFonts w:hint="eastAsia" w:ascii="宋体" w:hAnsi="宋体" w:eastAsia="宋体" w:cs="Times New Roman"/>
                <w:sz w:val="24"/>
                <w:szCs w:val="20"/>
                <w:highlight w:val="none"/>
                <w:lang w:val="en-US" w:eastAsia="zh-CN"/>
              </w:rPr>
              <w:t>加注★的条款或参数要求的、</w:t>
            </w:r>
            <w:r>
              <w:rPr>
                <w:rFonts w:hint="eastAsia" w:ascii="宋体" w:hAnsi="宋体" w:eastAsia="宋体" w:cs="Times New Roman"/>
                <w:sz w:val="24"/>
                <w:szCs w:val="20"/>
                <w:highlight w:val="none"/>
              </w:rPr>
              <w:t>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11326094"/>
      <w:bookmarkStart w:id="13" w:name="_Toc9066360"/>
    </w:p>
    <w:p>
      <w:pPr>
        <w:keepNext/>
        <w:keepLines/>
        <w:spacing w:before="260" w:after="260" w:line="360" w:lineRule="auto"/>
        <w:outlineLvl w:val="0"/>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keepNext/>
        <w:keepLines/>
        <w:numPr>
          <w:ilvl w:val="0"/>
          <w:numId w:val="3"/>
        </w:numPr>
        <w:spacing w:before="260" w:after="260" w:line="360" w:lineRule="auto"/>
        <w:jc w:val="center"/>
        <w:outlineLvl w:val="0"/>
        <w:rPr>
          <w:rFonts w:hint="eastAsia"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 xml:space="preserve"> 需求一览表及技术规格</w:t>
      </w:r>
    </w:p>
    <w:p>
      <w:pPr>
        <w:pStyle w:val="2"/>
        <w:spacing w:before="156" w:beforeLines="50" w:after="156" w:afterLines="50"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8"/>
          <w:szCs w:val="28"/>
        </w:rPr>
        <w:t>招标需求</w:t>
      </w:r>
    </w:p>
    <w:bookmarkEnd w:id="12"/>
    <w:bookmarkEnd w:id="13"/>
    <w:tbl>
      <w:tblPr>
        <w:tblStyle w:val="31"/>
        <w:tblW w:w="9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08"/>
        <w:gridCol w:w="2387"/>
        <w:gridCol w:w="2913"/>
        <w:gridCol w:w="1175"/>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jc w:val="center"/>
              <w:rPr>
                <w:rFonts w:hint="eastAsia" w:ascii="宋体" w:hAnsi="宋体" w:eastAsia="宋体" w:cs="宋体"/>
                <w:b/>
                <w:sz w:val="21"/>
                <w:szCs w:val="21"/>
                <w:highlight w:val="none"/>
              </w:rPr>
            </w:pPr>
            <w:bookmarkStart w:id="14" w:name="_Toc11326096"/>
            <w:r>
              <w:rPr>
                <w:rFonts w:hint="eastAsia" w:ascii="宋体" w:hAnsi="宋体" w:eastAsia="宋体" w:cs="宋体"/>
                <w:b/>
                <w:sz w:val="21"/>
                <w:szCs w:val="21"/>
                <w:highlight w:val="none"/>
              </w:rPr>
              <w:t>序号</w:t>
            </w:r>
          </w:p>
        </w:tc>
        <w:tc>
          <w:tcPr>
            <w:tcW w:w="1708"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采购</w:t>
            </w:r>
            <w:r>
              <w:rPr>
                <w:rFonts w:hint="eastAsia" w:ascii="宋体" w:hAnsi="宋体" w:eastAsia="宋体" w:cs="宋体"/>
                <w:b/>
                <w:sz w:val="21"/>
                <w:szCs w:val="21"/>
                <w:highlight w:val="none"/>
              </w:rPr>
              <w:t>要求</w:t>
            </w:r>
          </w:p>
        </w:tc>
        <w:tc>
          <w:tcPr>
            <w:tcW w:w="5300" w:type="dxa"/>
            <w:gridSpan w:val="2"/>
            <w:noWrap w:val="0"/>
            <w:vAlign w:val="center"/>
          </w:tcPr>
          <w:p>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指标要求</w:t>
            </w:r>
          </w:p>
        </w:tc>
        <w:tc>
          <w:tcPr>
            <w:tcW w:w="1175"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供应商</w:t>
            </w:r>
            <w:r>
              <w:rPr>
                <w:rFonts w:hint="eastAsia" w:ascii="宋体" w:hAnsi="宋体" w:eastAsia="宋体" w:cs="宋体"/>
                <w:b/>
                <w:sz w:val="21"/>
                <w:szCs w:val="21"/>
                <w:highlight w:val="none"/>
              </w:rPr>
              <w:t>响应</w:t>
            </w:r>
          </w:p>
        </w:tc>
        <w:tc>
          <w:tcPr>
            <w:tcW w:w="1097"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一</w:t>
            </w:r>
          </w:p>
        </w:tc>
        <w:tc>
          <w:tcPr>
            <w:tcW w:w="9280" w:type="dxa"/>
            <w:gridSpan w:val="5"/>
            <w:noWrap w:val="0"/>
            <w:vAlign w:val="center"/>
          </w:tcPr>
          <w:p>
            <w:pPr>
              <w:rPr>
                <w:rFonts w:hint="eastAsia" w:ascii="宋体" w:hAnsi="宋体" w:eastAsia="宋体" w:cs="宋体"/>
                <w:b/>
                <w:sz w:val="21"/>
                <w:szCs w:val="21"/>
                <w:highlight w:val="none"/>
              </w:rPr>
            </w:pPr>
            <w:r>
              <w:rPr>
                <w:rFonts w:hint="eastAsia" w:ascii="宋体" w:hAnsi="宋体" w:eastAsia="宋体" w:cs="宋体"/>
                <w:b/>
                <w:bCs w:val="0"/>
                <w:sz w:val="21"/>
                <w:szCs w:val="21"/>
                <w:highlight w:val="none"/>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c>
          <w:tcPr>
            <w:tcW w:w="1708" w:type="dxa"/>
            <w:noWrap w:val="0"/>
            <w:vAlign w:val="center"/>
          </w:tcPr>
          <w:p>
            <w:pPr>
              <w:widowControl/>
              <w:spacing w:line="240" w:lineRule="auto"/>
              <w:textAlignment w:val="center"/>
              <w:rPr>
                <w:rStyle w:val="211"/>
                <w:rFonts w:hint="eastAsia" w:ascii="宋体" w:hAnsi="宋体" w:eastAsia="宋体" w:cs="宋体"/>
                <w:sz w:val="21"/>
                <w:szCs w:val="21"/>
                <w:highlight w:val="none"/>
                <w:lang w:val="en-US" w:eastAsia="zh-CN" w:bidi="ar"/>
              </w:rPr>
            </w:pPr>
            <w:r>
              <w:rPr>
                <w:rStyle w:val="211"/>
                <w:rFonts w:hint="eastAsia" w:ascii="宋体" w:hAnsi="宋体" w:eastAsia="宋体" w:cs="宋体"/>
                <w:sz w:val="21"/>
                <w:szCs w:val="21"/>
                <w:highlight w:val="none"/>
                <w:lang w:val="en-US" w:eastAsia="zh-CN" w:bidi="ar"/>
              </w:rPr>
              <w:t>项目</w:t>
            </w:r>
            <w:r>
              <w:rPr>
                <w:rStyle w:val="211"/>
                <w:rFonts w:hint="eastAsia" w:ascii="宋体" w:hAnsi="宋体" w:eastAsia="宋体" w:cs="宋体"/>
                <w:sz w:val="21"/>
                <w:szCs w:val="21"/>
                <w:highlight w:val="none"/>
                <w:lang w:bidi="ar"/>
              </w:rPr>
              <w:t>名称：</w:t>
            </w:r>
            <w:r>
              <w:rPr>
                <w:rStyle w:val="211"/>
                <w:rFonts w:hint="eastAsia" w:ascii="宋体" w:hAnsi="宋体" w:eastAsia="宋体" w:cs="宋体"/>
                <w:sz w:val="21"/>
                <w:szCs w:val="21"/>
                <w:highlight w:val="none"/>
                <w:lang w:val="en-US" w:eastAsia="zh-CN" w:bidi="ar"/>
              </w:rPr>
              <w:t>智慧医院肿瘤综合诊治子系统建设项目-密码应用测评服务</w:t>
            </w:r>
          </w:p>
        </w:tc>
        <w:tc>
          <w:tcPr>
            <w:tcW w:w="5300" w:type="dxa"/>
            <w:gridSpan w:val="2"/>
            <w:noWrap w:val="0"/>
            <w:vAlign w:val="center"/>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基于现有医联工程互联互通、肿瘤综合诊疗服务项目（一期）的成果，按照申康下发的市级医院肿瘤综合诊治中心的建设规范及数据集要求，在院内全面开展肿瘤综合诊治服务应用建设。重点完成院内相关业务系统改造，将临床路径、多学科诊疗、临床研究、个性随访等融入肿瘤的诊疗，提供院内COC的集中展示，并与申康COC中心端对接，实现院内数据上传和医联COC跨院视图整合，建立形成肿瘤标准化操作流程，提高肿瘤诊疗水平和效率，为病人提供科学、适宜的治疗方案，改善肿瘤患者生存质量</w:t>
            </w:r>
          </w:p>
        </w:tc>
        <w:tc>
          <w:tcPr>
            <w:tcW w:w="1175" w:type="dxa"/>
            <w:noWrap w:val="0"/>
            <w:vAlign w:val="center"/>
          </w:tcPr>
          <w:p>
            <w:pPr>
              <w:rPr>
                <w:rFonts w:hint="eastAsia" w:ascii="宋体" w:hAnsi="宋体" w:eastAsia="宋体" w:cs="宋体"/>
                <w:b/>
                <w:sz w:val="21"/>
                <w:szCs w:val="21"/>
                <w:highlight w:val="none"/>
              </w:rPr>
            </w:pPr>
          </w:p>
        </w:tc>
        <w:tc>
          <w:tcPr>
            <w:tcW w:w="1097" w:type="dxa"/>
            <w:noWrap w:val="0"/>
            <w:vAlign w:val="center"/>
          </w:tcPr>
          <w:p>
            <w:pP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w:t>
            </w:r>
          </w:p>
        </w:tc>
        <w:tc>
          <w:tcPr>
            <w:tcW w:w="1708" w:type="dxa"/>
            <w:noWrap w:val="0"/>
            <w:vAlign w:val="center"/>
          </w:tcPr>
          <w:p>
            <w:pPr>
              <w:widowControl/>
              <w:spacing w:line="240" w:lineRule="auto"/>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lang w:val="en-US" w:eastAsia="zh-CN" w:bidi="ar"/>
              </w:rPr>
              <w:t>供应商资质</w:t>
            </w:r>
          </w:p>
        </w:tc>
        <w:tc>
          <w:tcPr>
            <w:tcW w:w="5300" w:type="dxa"/>
            <w:gridSpan w:val="2"/>
            <w:noWrap w:val="0"/>
            <w:vAlign w:val="center"/>
          </w:tcPr>
          <w:p>
            <w:pPr>
              <w:spacing w:line="240" w:lineRule="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供应商须具备经国家密码管理局认定的商用密码检测机构资质证书（业务范围：商用密码应用安全性评估）</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w:t>
            </w:r>
          </w:p>
        </w:tc>
        <w:tc>
          <w:tcPr>
            <w:tcW w:w="9280" w:type="dxa"/>
            <w:gridSpan w:val="5"/>
            <w:noWrap w:val="0"/>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b/>
                <w:bCs/>
                <w:color w:val="000000" w:themeColor="text1"/>
                <w:kern w:val="0"/>
                <w:sz w:val="21"/>
                <w:szCs w:val="21"/>
                <w:lang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noWrap w:val="0"/>
            <w:vAlign w:val="center"/>
          </w:tcPr>
          <w:p>
            <w:pPr>
              <w:spacing w:before="156" w:beforeLines="50" w:after="156" w:afterLines="50" w:line="24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val="0"/>
                <w:color w:val="000000" w:themeColor="text1"/>
                <w:kern w:val="2"/>
                <w:sz w:val="21"/>
                <w:szCs w:val="21"/>
                <w:lang w:val="en-US" w:eastAsia="zh-CN" w:bidi="ar-SA"/>
              </w:rPr>
              <w:t>测评内容</w:t>
            </w:r>
          </w:p>
        </w:tc>
        <w:tc>
          <w:tcPr>
            <w:tcW w:w="2387"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Theme="minorEastAsia" w:hAnsiTheme="minorEastAsia" w:eastAsiaTheme="minorEastAsia" w:cstheme="minorEastAsia"/>
                <w:b/>
                <w:bCs/>
                <w:sz w:val="21"/>
                <w:szCs w:val="21"/>
              </w:rPr>
              <w:t>测评类别</w:t>
            </w:r>
          </w:p>
        </w:tc>
        <w:tc>
          <w:tcPr>
            <w:tcW w:w="2913" w:type="dxa"/>
            <w:noWrap w:val="0"/>
            <w:vAlign w:val="center"/>
          </w:tcPr>
          <w:p>
            <w:pPr>
              <w:spacing w:before="156" w:beforeLines="50" w:after="156" w:afterLines="50"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测评单元</w:t>
            </w:r>
          </w:p>
        </w:tc>
        <w:tc>
          <w:tcPr>
            <w:tcW w:w="1175"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供应商</w:t>
            </w:r>
            <w:r>
              <w:rPr>
                <w:rFonts w:hint="eastAsia" w:ascii="宋体" w:hAnsi="宋体" w:eastAsia="宋体" w:cs="宋体"/>
                <w:b/>
                <w:sz w:val="21"/>
                <w:szCs w:val="21"/>
                <w:highlight w:val="none"/>
              </w:rPr>
              <w:t>响应</w:t>
            </w:r>
          </w:p>
        </w:tc>
        <w:tc>
          <w:tcPr>
            <w:tcW w:w="1097"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default" w:ascii="宋体" w:hAnsi="宋体" w:eastAsia="宋体" w:cs="宋体"/>
                <w:sz w:val="21"/>
                <w:szCs w:val="21"/>
                <w:lang w:val="en-US" w:eastAsia="zh-CN" w:bidi="th-TH"/>
              </w:rPr>
            </w:pPr>
            <w:r>
              <w:rPr>
                <w:rFonts w:hint="eastAsia" w:ascii="宋体" w:hAnsi="宋体" w:eastAsia="宋体" w:cs="宋体"/>
                <w:sz w:val="21"/>
                <w:szCs w:val="21"/>
                <w:lang w:val="en-US" w:eastAsia="zh-CN" w:bidi="th-TH"/>
              </w:rPr>
              <w:t>1</w:t>
            </w:r>
          </w:p>
        </w:tc>
        <w:tc>
          <w:tcPr>
            <w:tcW w:w="9280" w:type="dxa"/>
            <w:gridSpan w:val="5"/>
            <w:noWrap w:val="0"/>
            <w:vAlign w:val="center"/>
          </w:tcPr>
          <w:p>
            <w:pPr>
              <w:rPr>
                <w:rFonts w:hint="eastAsia" w:ascii="宋体" w:hAnsi="宋体" w:eastAsia="宋体" w:cs="宋体"/>
                <w:sz w:val="21"/>
                <w:szCs w:val="21"/>
                <w:highlight w:val="none"/>
              </w:rPr>
            </w:pPr>
            <w:r>
              <w:rPr>
                <w:rFonts w:hint="eastAsia" w:asciiTheme="minorEastAsia" w:hAnsiTheme="minorEastAsia" w:eastAsiaTheme="minorEastAsia" w:cstheme="minorEastAsia"/>
                <w:color w:val="000000"/>
                <w:kern w:val="2"/>
                <w:sz w:val="21"/>
                <w:szCs w:val="21"/>
                <w:lang w:val="en-US" w:eastAsia="zh-CN" w:bidi="ar-SA"/>
              </w:rPr>
              <w:t>安全技术测评：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1）</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物理和环境安全</w:t>
            </w:r>
          </w:p>
        </w:tc>
        <w:tc>
          <w:tcPr>
            <w:tcW w:w="2387" w:type="dxa"/>
            <w:vMerge w:val="restart"/>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Theme="minorEastAsia" w:hAnsiTheme="minorEastAsia" w:eastAsiaTheme="minorEastAsia" w:cstheme="minorEastAsia"/>
                <w:sz w:val="21"/>
                <w:szCs w:val="21"/>
              </w:rPr>
              <w:t>安全技术测评-物理和环境安全</w:t>
            </w:r>
          </w:p>
        </w:tc>
        <w:tc>
          <w:tcPr>
            <w:tcW w:w="2913"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Theme="minorEastAsia" w:hAnsiTheme="minorEastAsia" w:eastAsiaTheme="minorEastAsia" w:cstheme="minorEastAsia"/>
                <w:sz w:val="21"/>
                <w:szCs w:val="21"/>
              </w:rPr>
              <w:t>身份鉴别</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p>
        </w:tc>
        <w:tc>
          <w:tcPr>
            <w:tcW w:w="2387" w:type="dxa"/>
            <w:vMerge w:val="continue"/>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电子门禁记录数据完整性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p>
        </w:tc>
        <w:tc>
          <w:tcPr>
            <w:tcW w:w="2387" w:type="dxa"/>
            <w:vMerge w:val="continue"/>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视频记录数据完整性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2）</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Theme="minorEastAsia" w:hAnsiTheme="minorEastAsia" w:eastAsiaTheme="minorEastAsia" w:cstheme="minorEastAsia"/>
                <w:sz w:val="21"/>
                <w:szCs w:val="21"/>
              </w:rPr>
              <w:t>网络和通信安全</w:t>
            </w:r>
          </w:p>
        </w:tc>
        <w:tc>
          <w:tcPr>
            <w:tcW w:w="2387" w:type="dxa"/>
            <w:vMerge w:val="restart"/>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Theme="minorEastAsia" w:hAnsiTheme="minorEastAsia" w:eastAsiaTheme="minorEastAsia" w:cstheme="minorEastAsia"/>
                <w:sz w:val="21"/>
                <w:szCs w:val="21"/>
              </w:rPr>
              <w:t>安全技术测评-网络和通信安全</w:t>
            </w: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身份鉴别</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通信数据完整性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通信过程中重要数据的机密性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网络边界访问控制信息的完整性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安全接入认证</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sz w:val="21"/>
                <w:szCs w:val="21"/>
                <w:lang w:val="en-US" w:eastAsia="zh-CN" w:bidi="th-TH"/>
              </w:rPr>
            </w:pPr>
            <w:r>
              <w:rPr>
                <w:rFonts w:hint="eastAsia" w:ascii="宋体" w:hAnsi="宋体" w:eastAsia="宋体" w:cs="宋体"/>
                <w:sz w:val="21"/>
                <w:szCs w:val="21"/>
                <w:lang w:val="en-US" w:eastAsia="zh-CN" w:bidi="th-TH"/>
              </w:rPr>
              <w:t>3）</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安全设备和计算安全</w:t>
            </w:r>
          </w:p>
        </w:tc>
        <w:tc>
          <w:tcPr>
            <w:tcW w:w="2387" w:type="dxa"/>
            <w:vMerge w:val="restart"/>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安全技术测评-设备和计算</w:t>
            </w: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身份鉴别</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远程管理通道安全</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系统资源访问控制信息完整性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重要信息资源安全标记完整性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日志记录完整性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重要可执行程序完整性、重要可执行程序来源真实性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sz w:val="21"/>
                <w:szCs w:val="21"/>
                <w:lang w:val="en-US" w:eastAsia="zh-CN" w:bidi="th-TH"/>
              </w:rPr>
            </w:pPr>
            <w:r>
              <w:rPr>
                <w:rFonts w:hint="eastAsia" w:ascii="宋体" w:hAnsi="宋体" w:eastAsia="宋体" w:cs="宋体"/>
                <w:sz w:val="21"/>
                <w:szCs w:val="21"/>
                <w:lang w:val="en-US" w:eastAsia="zh-CN" w:bidi="th-TH"/>
              </w:rPr>
              <w:t>4）</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应用和数据安全</w:t>
            </w:r>
          </w:p>
        </w:tc>
        <w:tc>
          <w:tcPr>
            <w:tcW w:w="2387" w:type="dxa"/>
            <w:vMerge w:val="restart"/>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Theme="minorEastAsia" w:hAnsiTheme="minorEastAsia" w:eastAsiaTheme="minorEastAsia" w:cstheme="minorEastAsia"/>
                <w:sz w:val="21"/>
                <w:szCs w:val="21"/>
              </w:rPr>
              <w:t>安全技术测评-应用和数据安全</w:t>
            </w:r>
          </w:p>
        </w:tc>
        <w:tc>
          <w:tcPr>
            <w:tcW w:w="2913" w:type="dxa"/>
            <w:noWrap w:val="0"/>
            <w:vAlign w:val="center"/>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身份鉴别</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访问控制信息完整性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重要信息资源安全标记完整性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重要数据传输机密性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重要数据存储机密性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sz w:val="21"/>
                <w:szCs w:val="21"/>
                <w:lang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sz w:val="21"/>
                <w:szCs w:val="21"/>
                <w:lang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重要数据传输完整性</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重要数据存储完整性</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不可否认性</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default" w:ascii="宋体" w:hAnsi="宋体" w:eastAsia="宋体" w:cs="宋体"/>
                <w:kern w:val="2"/>
                <w:sz w:val="21"/>
                <w:szCs w:val="21"/>
                <w:lang w:val="en-US" w:eastAsia="zh-CN" w:bidi="th-TH"/>
              </w:rPr>
            </w:pPr>
            <w:r>
              <w:rPr>
                <w:rFonts w:hint="eastAsia" w:ascii="宋体" w:hAnsi="宋体" w:eastAsia="宋体" w:cs="宋体"/>
                <w:kern w:val="2"/>
                <w:sz w:val="21"/>
                <w:szCs w:val="21"/>
                <w:lang w:val="en-US" w:eastAsia="zh-CN" w:bidi="th-TH"/>
              </w:rPr>
              <w:t>2</w:t>
            </w:r>
          </w:p>
        </w:tc>
        <w:tc>
          <w:tcPr>
            <w:tcW w:w="9280" w:type="dxa"/>
            <w:gridSpan w:val="5"/>
            <w:noWrap w:val="0"/>
            <w:vAlign w:val="center"/>
          </w:tcPr>
          <w:p>
            <w:pPr>
              <w:rPr>
                <w:rFonts w:hint="eastAsia" w:ascii="宋体" w:hAnsi="宋体" w:eastAsia="宋体" w:cs="宋体"/>
                <w:kern w:val="2"/>
                <w:sz w:val="21"/>
                <w:szCs w:val="21"/>
                <w:highlight w:val="none"/>
                <w:lang w:val="en-US" w:eastAsia="zh-CN" w:bidi="ar-SA"/>
              </w:rPr>
            </w:pPr>
            <w:r>
              <w:rPr>
                <w:rFonts w:hint="eastAsia" w:asciiTheme="minorEastAsia" w:hAnsiTheme="minorEastAsia" w:eastAsiaTheme="minorEastAsia" w:cstheme="minorEastAsia"/>
                <w:sz w:val="21"/>
                <w:szCs w:val="21"/>
              </w:rPr>
              <w:t>安全管理测评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kern w:val="2"/>
                <w:sz w:val="21"/>
                <w:szCs w:val="21"/>
                <w:lang w:val="en-US" w:eastAsia="zh-CN" w:bidi="th-TH"/>
              </w:rPr>
            </w:pPr>
            <w:r>
              <w:rPr>
                <w:rFonts w:hint="eastAsia" w:ascii="宋体" w:hAnsi="宋体" w:eastAsia="宋体" w:cs="宋体"/>
                <w:kern w:val="2"/>
                <w:sz w:val="21"/>
                <w:szCs w:val="21"/>
                <w:lang w:val="en-US" w:eastAsia="zh-CN" w:bidi="th-TH"/>
              </w:rPr>
              <w:t>1）</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管理制度</w:t>
            </w:r>
          </w:p>
        </w:tc>
        <w:tc>
          <w:tcPr>
            <w:tcW w:w="2387" w:type="dxa"/>
            <w:vMerge w:val="restart"/>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安全管理测评-管理制度</w:t>
            </w: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具备密码应用安全管理制度</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spacing w:before="156" w:beforeLines="50" w:after="156" w:afterLines="50"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密钥管理规则</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建立操作规程</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定期修订安全管理制度</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明确管理制度发布流程</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制度执行过程记录留存</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kern w:val="2"/>
                <w:sz w:val="21"/>
                <w:szCs w:val="21"/>
                <w:lang w:val="en-US" w:eastAsia="zh-CN" w:bidi="th-TH"/>
              </w:rPr>
            </w:pPr>
            <w:r>
              <w:rPr>
                <w:rFonts w:hint="eastAsia" w:ascii="宋体" w:hAnsi="宋体" w:eastAsia="宋体" w:cs="宋体"/>
                <w:kern w:val="2"/>
                <w:sz w:val="21"/>
                <w:szCs w:val="21"/>
                <w:lang w:val="en-US" w:eastAsia="zh-CN" w:bidi="th-TH"/>
              </w:rPr>
              <w:t>2）</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人员管理</w:t>
            </w:r>
          </w:p>
        </w:tc>
        <w:tc>
          <w:tcPr>
            <w:tcW w:w="2387" w:type="dxa"/>
            <w:vMerge w:val="restart"/>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安全管理测评-人员管理度</w:t>
            </w: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了解并遵守密码相关法律法规和密码管理制度</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建立密码应用岗位责任制度</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建立上岗人员培训制度</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定期进行安全岗位人员考核</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建立关键岗位人员保密制度和调离制度</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kern w:val="2"/>
                <w:sz w:val="21"/>
                <w:szCs w:val="21"/>
                <w:lang w:val="en-US" w:eastAsia="zh-CN" w:bidi="th-TH"/>
              </w:rPr>
            </w:pPr>
            <w:r>
              <w:rPr>
                <w:rFonts w:hint="eastAsia" w:ascii="宋体" w:hAnsi="宋体" w:eastAsia="宋体" w:cs="宋体"/>
                <w:kern w:val="2"/>
                <w:sz w:val="21"/>
                <w:szCs w:val="21"/>
                <w:lang w:val="en-US" w:eastAsia="zh-CN" w:bidi="th-TH"/>
              </w:rPr>
              <w:t>3）</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建设运行</w:t>
            </w:r>
          </w:p>
        </w:tc>
        <w:tc>
          <w:tcPr>
            <w:tcW w:w="2387" w:type="dxa"/>
            <w:vMerge w:val="restart"/>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安全管理测评-建设运行</w:t>
            </w: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制定密码应用方案</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制定密钥安全管理策略</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制定实施方案</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投入运行前进行密码应用安全性评估</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定期开展密码应用安全性评估及攻防对抗演习</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kern w:val="2"/>
                <w:sz w:val="21"/>
                <w:szCs w:val="21"/>
                <w:lang w:val="en-US" w:eastAsia="zh-CN" w:bidi="th-TH"/>
              </w:rPr>
            </w:pPr>
            <w:r>
              <w:rPr>
                <w:rFonts w:hint="eastAsia" w:ascii="宋体" w:hAnsi="宋体" w:eastAsia="宋体" w:cs="宋体"/>
                <w:kern w:val="2"/>
                <w:sz w:val="21"/>
                <w:szCs w:val="21"/>
                <w:lang w:val="en-US" w:eastAsia="zh-CN" w:bidi="th-TH"/>
              </w:rPr>
              <w:t>4）</w:t>
            </w:r>
          </w:p>
        </w:tc>
        <w:tc>
          <w:tcPr>
            <w:tcW w:w="1708" w:type="dxa"/>
            <w:vMerge w:val="restart"/>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应急处置</w:t>
            </w:r>
          </w:p>
        </w:tc>
        <w:tc>
          <w:tcPr>
            <w:tcW w:w="2387" w:type="dxa"/>
            <w:vMerge w:val="restart"/>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r>
              <w:rPr>
                <w:rFonts w:hint="eastAsia" w:asciiTheme="minorEastAsia" w:hAnsiTheme="minorEastAsia" w:eastAsiaTheme="minorEastAsia" w:cstheme="minorEastAsia"/>
                <w:sz w:val="21"/>
                <w:szCs w:val="21"/>
              </w:rPr>
              <w:t>安全管理测评-应急处置</w:t>
            </w: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 xml:space="preserve">应急策略 </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事件处置</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kern w:val="2"/>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kern w:val="2"/>
                <w:sz w:val="21"/>
                <w:szCs w:val="21"/>
                <w:lang w:val="en-US" w:eastAsia="zh-CN" w:bidi="ar"/>
              </w:rPr>
            </w:pPr>
          </w:p>
        </w:tc>
        <w:tc>
          <w:tcPr>
            <w:tcW w:w="2387" w:type="dxa"/>
            <w:vMerge w:val="continue"/>
            <w:noWrap w:val="0"/>
            <w:vAlign w:val="center"/>
          </w:tcPr>
          <w:p>
            <w:pPr>
              <w:spacing w:before="156" w:beforeLines="50" w:after="156" w:afterLines="50" w:line="240" w:lineRule="auto"/>
              <w:rPr>
                <w:rFonts w:hint="eastAsia" w:ascii="宋体" w:hAnsi="宋体" w:eastAsia="宋体" w:cs="宋体"/>
                <w:kern w:val="2"/>
                <w:sz w:val="21"/>
                <w:szCs w:val="21"/>
                <w:lang w:val="en-US" w:eastAsia="zh-CN" w:bidi="ar"/>
              </w:rPr>
            </w:pPr>
          </w:p>
        </w:tc>
        <w:tc>
          <w:tcPr>
            <w:tcW w:w="2913" w:type="dxa"/>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向有关主管部门上报处置情况</w:t>
            </w:r>
          </w:p>
        </w:tc>
        <w:tc>
          <w:tcPr>
            <w:tcW w:w="1175" w:type="dxa"/>
            <w:noWrap w:val="0"/>
            <w:vAlign w:val="center"/>
          </w:tcPr>
          <w:p>
            <w:pPr>
              <w:rPr>
                <w:rFonts w:hint="eastAsia" w:ascii="宋体" w:hAnsi="宋体" w:eastAsia="宋体" w:cs="宋体"/>
                <w:kern w:val="2"/>
                <w:sz w:val="21"/>
                <w:szCs w:val="21"/>
                <w:highlight w:val="none"/>
                <w:lang w:val="en-US" w:eastAsia="zh-CN" w:bidi="ar-SA"/>
              </w:rPr>
            </w:pPr>
          </w:p>
        </w:tc>
        <w:tc>
          <w:tcPr>
            <w:tcW w:w="1097" w:type="dxa"/>
            <w:noWrap w:val="0"/>
            <w:vAlign w:val="center"/>
          </w:tcPr>
          <w:p>
            <w:pPr>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3</w:t>
            </w:r>
          </w:p>
        </w:tc>
        <w:tc>
          <w:tcPr>
            <w:tcW w:w="1708" w:type="dxa"/>
            <w:noWrap w:val="0"/>
            <w:vAlign w:val="center"/>
          </w:tcPr>
          <w:p>
            <w:pPr>
              <w:spacing w:before="156" w:beforeLines="50" w:after="156" w:afterLines="50" w:line="240" w:lineRule="auto"/>
              <w:jc w:val="center"/>
              <w:rPr>
                <w:rFonts w:hint="eastAsia" w:ascii="宋体" w:hAnsi="宋体" w:eastAsia="宋体" w:cs="宋体"/>
                <w:sz w:val="21"/>
                <w:szCs w:val="21"/>
                <w:lang w:bidi="ar"/>
              </w:rPr>
            </w:pPr>
            <w:r>
              <w:rPr>
                <w:rFonts w:hint="eastAsia" w:ascii="宋体" w:hAnsi="宋体" w:eastAsia="宋体" w:cs="宋体"/>
                <w:sz w:val="21"/>
                <w:szCs w:val="21"/>
                <w:highlight w:val="none"/>
              </w:rPr>
              <w:t>★</w:t>
            </w:r>
            <w:bookmarkStart w:id="61" w:name="_GoBack"/>
            <w:bookmarkEnd w:id="61"/>
            <w:r>
              <w:rPr>
                <w:rFonts w:hint="eastAsia" w:ascii="宋体" w:hAnsi="宋体" w:eastAsia="宋体" w:cs="宋体"/>
                <w:color w:val="auto"/>
                <w:sz w:val="21"/>
                <w:szCs w:val="21"/>
              </w:rPr>
              <w:t>验收标准</w:t>
            </w:r>
          </w:p>
        </w:tc>
        <w:tc>
          <w:tcPr>
            <w:tcW w:w="5300" w:type="dxa"/>
            <w:gridSpan w:val="2"/>
            <w:noWrap w:val="0"/>
            <w:vAlign w:val="center"/>
          </w:tcPr>
          <w:p>
            <w:pPr>
              <w:spacing w:before="156" w:beforeLines="50" w:after="156" w:afterLines="50" w:line="240" w:lineRule="auto"/>
              <w:rPr>
                <w:rFonts w:hint="eastAsia" w:ascii="宋体" w:hAnsi="宋体" w:eastAsia="宋体" w:cs="宋体"/>
                <w:sz w:val="21"/>
                <w:szCs w:val="21"/>
                <w:lang w:bidi="ar"/>
              </w:rPr>
            </w:pPr>
            <w:r>
              <w:rPr>
                <w:rFonts w:hint="eastAsia" w:ascii="宋体" w:hAnsi="宋体" w:eastAsia="宋体" w:cs="宋体"/>
                <w:sz w:val="21"/>
                <w:szCs w:val="21"/>
                <w:lang w:bidi="ar"/>
              </w:rPr>
              <w:t>项目组在完成各项测试及评估任务后，出具相应的</w:t>
            </w:r>
            <w:r>
              <w:rPr>
                <w:rFonts w:hint="eastAsia" w:ascii="宋体" w:hAnsi="宋体" w:eastAsia="宋体" w:cs="宋体"/>
                <w:color w:val="000000" w:themeColor="text1"/>
                <w:sz w:val="21"/>
                <w:szCs w:val="21"/>
              </w:rPr>
              <w:t>《上海市中医医院智慧医院肿瘤综合诊治子系统建设项目密码应用测评报告》</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restart"/>
            <w:noWrap w:val="0"/>
            <w:vAlign w:val="center"/>
          </w:tcPr>
          <w:p>
            <w:pPr>
              <w:spacing w:line="500" w:lineRule="exact"/>
              <w:jc w:val="center"/>
              <w:rPr>
                <w:rFonts w:hint="default" w:ascii="宋体" w:hAnsi="宋体" w:eastAsia="宋体" w:cs="宋体"/>
                <w:sz w:val="21"/>
                <w:szCs w:val="21"/>
                <w:lang w:val="en-US" w:eastAsia="zh-CN" w:bidi="th-TH"/>
              </w:rPr>
            </w:pPr>
            <w:r>
              <w:rPr>
                <w:rFonts w:hint="eastAsia" w:ascii="宋体" w:hAnsi="宋体" w:eastAsia="宋体" w:cs="宋体"/>
                <w:sz w:val="21"/>
                <w:szCs w:val="21"/>
                <w:lang w:val="en-US" w:eastAsia="zh-CN" w:bidi="th-TH"/>
              </w:rPr>
              <w:t>4</w:t>
            </w:r>
          </w:p>
        </w:tc>
        <w:tc>
          <w:tcPr>
            <w:tcW w:w="1708" w:type="dxa"/>
            <w:vMerge w:val="restart"/>
            <w:noWrap w:val="0"/>
            <w:vAlign w:val="center"/>
          </w:tcPr>
          <w:p>
            <w:pPr>
              <w:spacing w:before="156" w:beforeLines="50" w:after="156" w:afterLines="5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售后服务要求</w:t>
            </w:r>
          </w:p>
        </w:tc>
        <w:tc>
          <w:tcPr>
            <w:tcW w:w="5300" w:type="dxa"/>
            <w:gridSpan w:val="2"/>
            <w:noWrap w:val="0"/>
            <w:vAlign w:val="center"/>
          </w:tcPr>
          <w:p>
            <w:pPr>
              <w:spacing w:before="156" w:beforeLines="50" w:after="156" w:afterLines="50" w:line="240" w:lineRule="auto"/>
              <w:rPr>
                <w:rFonts w:hint="eastAsia" w:ascii="宋体" w:hAnsi="宋体" w:eastAsia="宋体" w:cs="宋体"/>
                <w:bCs/>
                <w:iCs/>
                <w:sz w:val="21"/>
                <w:szCs w:val="21"/>
                <w:lang w:val="en-US" w:eastAsia="zh-CN"/>
              </w:rPr>
            </w:pPr>
            <w:r>
              <w:rPr>
                <w:rFonts w:hint="eastAsia" w:ascii="宋体" w:hAnsi="宋体" w:eastAsia="宋体" w:cs="宋体"/>
                <w:bCs/>
                <w:iCs/>
                <w:sz w:val="21"/>
                <w:szCs w:val="21"/>
                <w:lang w:val="en-US" w:eastAsia="zh-CN"/>
              </w:rPr>
              <w:t>投标人必须有完善的售后服务体系、售后服务措施和售后服务团队，同时可</w:t>
            </w:r>
            <w:r>
              <w:rPr>
                <w:rFonts w:hint="eastAsia" w:ascii="宋体" w:hAnsi="宋体" w:eastAsia="宋体" w:cs="宋体"/>
                <w:bCs/>
                <w:iCs/>
                <w:sz w:val="21"/>
                <w:szCs w:val="21"/>
              </w:rPr>
              <w:t>提供7*24小时热线电话服务</w:t>
            </w:r>
            <w:r>
              <w:rPr>
                <w:rFonts w:hint="eastAsia" w:ascii="宋体" w:hAnsi="宋体" w:eastAsia="宋体" w:cs="宋体"/>
                <w:bCs/>
                <w:iCs/>
                <w:sz w:val="21"/>
                <w:szCs w:val="21"/>
                <w:lang w:val="en-US" w:eastAsia="zh-CN"/>
              </w:rPr>
              <w:t>支持</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Merge w:val="continue"/>
            <w:noWrap w:val="0"/>
            <w:vAlign w:val="center"/>
          </w:tcPr>
          <w:p>
            <w:pPr>
              <w:spacing w:line="500" w:lineRule="exact"/>
              <w:jc w:val="center"/>
              <w:rPr>
                <w:rFonts w:hint="eastAsia" w:ascii="宋体" w:hAnsi="宋体" w:eastAsia="宋体" w:cs="宋体"/>
                <w:sz w:val="21"/>
                <w:szCs w:val="21"/>
                <w:lang w:val="en-US" w:eastAsia="zh-CN" w:bidi="th-TH"/>
              </w:rPr>
            </w:pPr>
          </w:p>
        </w:tc>
        <w:tc>
          <w:tcPr>
            <w:tcW w:w="1708" w:type="dxa"/>
            <w:vMerge w:val="continue"/>
            <w:noWrap w:val="0"/>
            <w:vAlign w:val="center"/>
          </w:tcPr>
          <w:p>
            <w:pPr>
              <w:spacing w:before="156" w:beforeLines="50" w:after="156" w:afterLines="50" w:line="240" w:lineRule="auto"/>
              <w:jc w:val="center"/>
              <w:rPr>
                <w:rFonts w:hint="eastAsia" w:ascii="宋体" w:hAnsi="宋体" w:eastAsia="宋体" w:cs="宋体"/>
                <w:color w:val="auto"/>
                <w:sz w:val="21"/>
                <w:szCs w:val="21"/>
                <w:lang w:val="en-US" w:eastAsia="zh-CN"/>
              </w:rPr>
            </w:pPr>
          </w:p>
        </w:tc>
        <w:tc>
          <w:tcPr>
            <w:tcW w:w="5300" w:type="dxa"/>
            <w:gridSpan w:val="2"/>
            <w:noWrap w:val="0"/>
            <w:vAlign w:val="center"/>
          </w:tcPr>
          <w:p>
            <w:pPr>
              <w:spacing w:before="156" w:beforeLines="50" w:after="156" w:afterLines="50"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项目完成密码测评验收后，</w:t>
            </w:r>
            <w:r>
              <w:rPr>
                <w:rFonts w:hint="eastAsia" w:ascii="宋体" w:hAnsi="宋体" w:eastAsia="宋体" w:cs="宋体"/>
                <w:sz w:val="21"/>
                <w:szCs w:val="21"/>
                <w:lang w:val="en-US" w:eastAsia="zh-CN"/>
              </w:rPr>
              <w:t>至少</w:t>
            </w:r>
            <w:r>
              <w:rPr>
                <w:rFonts w:hint="eastAsia" w:ascii="宋体" w:hAnsi="宋体" w:eastAsia="宋体" w:cs="宋体"/>
                <w:sz w:val="21"/>
                <w:szCs w:val="21"/>
              </w:rPr>
              <w:t>一年内免费提供密码测评相关的售后咨询服务</w:t>
            </w:r>
          </w:p>
        </w:tc>
        <w:tc>
          <w:tcPr>
            <w:tcW w:w="1175" w:type="dxa"/>
            <w:noWrap w:val="0"/>
            <w:vAlign w:val="center"/>
          </w:tcPr>
          <w:p>
            <w:pPr>
              <w:rPr>
                <w:rFonts w:hint="eastAsia" w:ascii="宋体" w:hAnsi="宋体" w:eastAsia="宋体" w:cs="宋体"/>
                <w:sz w:val="21"/>
                <w:szCs w:val="21"/>
                <w:highlight w:val="none"/>
              </w:rPr>
            </w:pPr>
          </w:p>
        </w:tc>
        <w:tc>
          <w:tcPr>
            <w:tcW w:w="1097" w:type="dxa"/>
            <w:noWrap w:val="0"/>
            <w:vAlign w:val="center"/>
          </w:tcPr>
          <w:p>
            <w:pPr>
              <w:rPr>
                <w:rFonts w:hint="eastAsia" w:ascii="宋体" w:hAnsi="宋体" w:eastAsia="宋体" w:cs="宋体"/>
                <w:sz w:val="21"/>
                <w:szCs w:val="21"/>
                <w:highlight w:val="none"/>
              </w:rPr>
            </w:pPr>
          </w:p>
        </w:tc>
      </w:tr>
    </w:tbl>
    <w:p>
      <w:pPr>
        <w:jc w:val="both"/>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36"/>
          <w:szCs w:val="36"/>
          <w:highlight w:val="none"/>
          <w:lang w:val="en-US" w:eastAsia="zh-CN"/>
        </w:rPr>
      </w:pPr>
      <w:r>
        <w:rPr>
          <w:rFonts w:hint="eastAsia" w:ascii="宋体" w:hAnsi="宋体" w:eastAsia="宋体" w:cs="Times New Roman"/>
          <w:b/>
          <w:sz w:val="36"/>
          <w:szCs w:val="36"/>
          <w:highlight w:val="none"/>
          <w:lang w:val="en-US" w:eastAsia="zh-CN"/>
        </w:rPr>
        <w:t>智慧医院肿瘤综合诊治子系统建设项目-密码应用测评服务</w:t>
      </w: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457748049"/>
      <w:bookmarkStart w:id="16" w:name="_Toc458971242"/>
      <w:bookmarkStart w:id="17" w:name="_Toc392227906"/>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369531691"/>
      <w:bookmarkStart w:id="19" w:name="_Toc352691655"/>
      <w:bookmarkStart w:id="20" w:name="_Toc7039"/>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352691656"/>
      <w:bookmarkStart w:id="22" w:name="_Toc369531692"/>
      <w:bookmarkStart w:id="23" w:name="_Toc6931"/>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宋体" w:hAnsi="宋体" w:eastAsia="宋体" w:cs="Times New Roman"/>
          <w:szCs w:val="21"/>
          <w:highlight w:val="none"/>
          <w:u w:val="single"/>
          <w:lang w:val="en-US" w:eastAsia="zh-CN"/>
        </w:rPr>
        <w:t>智慧医院肿瘤综合诊治子系统建设项目-密码应用测评服务</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69531694"/>
      <w:bookmarkStart w:id="25" w:name="_Toc352691658"/>
      <w:bookmarkStart w:id="26" w:name="_Toc1187"/>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16568"/>
      <w:bookmarkStart w:id="28" w:name="_Toc369531695"/>
      <w:bookmarkStart w:id="29" w:name="_Toc352691659"/>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369531696"/>
      <w:bookmarkStart w:id="31" w:name="_Toc352691660"/>
      <w:bookmarkStart w:id="32" w:name="_Toc16824"/>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300835209"/>
      <w:bookmarkStart w:id="34" w:name="_Toc369531697"/>
      <w:bookmarkStart w:id="35" w:name="_Toc352691661"/>
      <w:bookmarkStart w:id="36" w:name="_Toc247527827"/>
      <w:bookmarkStart w:id="37" w:name="_Toc247514246"/>
      <w:bookmarkStart w:id="38" w:name="_Toc384308375"/>
      <w:bookmarkStart w:id="39" w:name="_Toc152045787"/>
      <w:bookmarkStart w:id="40" w:name="_Toc361508752"/>
      <w:bookmarkStart w:id="41" w:name="_Toc144974856"/>
      <w:bookmarkStart w:id="42" w:name="_Toc17960"/>
      <w:bookmarkStart w:id="43" w:name="_Toc152042576"/>
      <w:r>
        <w:rPr>
          <w:rFonts w:hint="eastAsia" w:ascii="宋体" w:hAnsi="宋体" w:eastAsia="宋体" w:cs="Times New Roman"/>
          <w:b/>
          <w:sz w:val="24"/>
          <w:szCs w:val="24"/>
          <w:highlight w:val="none"/>
        </w:rPr>
        <w:br w:type="page"/>
      </w:r>
      <w:bookmarkStart w:id="44" w:name="_Toc392227908"/>
      <w:bookmarkStart w:id="45" w:name="_Toc458971245"/>
      <w:bookmarkStart w:id="46" w:name="_Toc457748054"/>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OLE_LINK2"/>
      <w:bookmarkStart w:id="49" w:name="_Toc458971246"/>
      <w:bookmarkStart w:id="50" w:name="OLE_LINK1"/>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宋体" w:hAnsi="宋体" w:eastAsia="宋体" w:cs="Times New Roman"/>
          <w:szCs w:val="21"/>
          <w:highlight w:val="none"/>
          <w:u w:val="single"/>
          <w:lang w:val="en-US" w:eastAsia="zh-CN"/>
        </w:rPr>
        <w:t>智慧医院肿瘤综合诊治子系统建设项目-密码应用测评服务</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eastAsia="宋体" w:cs="Times New Roman"/>
                <w:szCs w:val="21"/>
                <w:highlight w:val="none"/>
                <w:u w:val="none"/>
                <w:lang w:val="en-US" w:eastAsia="zh-CN"/>
              </w:rPr>
              <w:t>智慧医院肿瘤综合诊治子系统建设项目-密码应用测评服务</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457748057"/>
      <w:bookmarkStart w:id="52" w:name="_Toc392227913"/>
      <w:bookmarkStart w:id="53" w:name="_Toc458971250"/>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458971251"/>
      <w:bookmarkStart w:id="55" w:name="_Toc392227915"/>
      <w:bookmarkStart w:id="56" w:name="_Toc457748058"/>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457748059"/>
      <w:bookmarkStart w:id="58" w:name="_Toc392227916"/>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4"/>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4"/>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4"/>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4B76B372"/>
    <w:multiLevelType w:val="singleLevel"/>
    <w:tmpl w:val="4B76B372"/>
    <w:lvl w:ilvl="0" w:tentative="0">
      <w:start w:val="3"/>
      <w:numFmt w:val="chineseCounting"/>
      <w:suff w:val="space"/>
      <w:lvlText w:val="第%1章"/>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YzFmNzI3NGZjMjA5MjUwZTc0MTE3OWQxZDhmMjI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3E247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EFD24EE"/>
    <w:rsid w:val="17B6127B"/>
    <w:rsid w:val="180D5475"/>
    <w:rsid w:val="20B74BBF"/>
    <w:rsid w:val="28787F75"/>
    <w:rsid w:val="2ADF50F8"/>
    <w:rsid w:val="3AD547B2"/>
    <w:rsid w:val="3D5501C4"/>
    <w:rsid w:val="41BC67ED"/>
    <w:rsid w:val="452A3CD4"/>
    <w:rsid w:val="5C6240FA"/>
    <w:rsid w:val="5DE8171B"/>
    <w:rsid w:val="645F409A"/>
    <w:rsid w:val="66F931CB"/>
    <w:rsid w:val="6F0108ED"/>
    <w:rsid w:val="6F0A1AA0"/>
    <w:rsid w:val="74E65469"/>
    <w:rsid w:val="79CD0AA0"/>
    <w:rsid w:val="7D540F33"/>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5703</Words>
  <Characters>6169</Characters>
  <Lines>53</Lines>
  <Paragraphs>15</Paragraphs>
  <TotalTime>0</TotalTime>
  <ScaleCrop>false</ScaleCrop>
  <LinksUpToDate>false</LinksUpToDate>
  <CharactersWithSpaces>7279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2025-05-29T00:18:49Z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