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数据要素赋能数字化转型子系统建设项目-密码应用测评服务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84"/>
      <w:bookmarkStart w:id="6"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11326093"/>
      <w:bookmarkStart w:id="10" w:name="_Toc9066359"/>
      <w:bookmarkStart w:id="11"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数据要素赋能数字化转型子系统建设项目-密码应用测评服务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8"/>
          <w:szCs w:val="28"/>
        </w:rPr>
        <w:t>招标需求</w:t>
      </w:r>
    </w:p>
    <w:bookmarkEnd w:id="12"/>
    <w:bookmarkEnd w:id="13"/>
    <w:tbl>
      <w:tblPr>
        <w:tblStyle w:val="31"/>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08"/>
        <w:gridCol w:w="2387"/>
        <w:gridCol w:w="2913"/>
        <w:gridCol w:w="11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170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5300" w:type="dxa"/>
            <w:gridSpan w:val="2"/>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175"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097"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9280" w:type="dxa"/>
            <w:gridSpan w:val="5"/>
            <w:noWrap w:val="0"/>
            <w:vAlign w:val="center"/>
          </w:tcPr>
          <w:p>
            <w:pPr>
              <w:rPr>
                <w:rFonts w:hint="eastAsia" w:ascii="宋体" w:hAnsi="宋体" w:eastAsia="宋体" w:cs="宋体"/>
                <w:b/>
                <w:sz w:val="21"/>
                <w:szCs w:val="21"/>
                <w:highlight w:val="none"/>
              </w:rPr>
            </w:pPr>
            <w:r>
              <w:rPr>
                <w:rFonts w:hint="eastAsia" w:ascii="宋体" w:hAnsi="宋体" w:eastAsia="宋体" w:cs="宋体"/>
                <w:b/>
                <w:bCs w:val="0"/>
                <w:sz w:val="21"/>
                <w:szCs w:val="21"/>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170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val="en-US" w:eastAsia="zh-CN" w:bidi="ar"/>
              </w:rPr>
              <w:t>项目</w:t>
            </w:r>
            <w:r>
              <w:rPr>
                <w:rStyle w:val="211"/>
                <w:rFonts w:hint="eastAsia" w:ascii="宋体" w:hAnsi="宋体" w:eastAsia="宋体" w:cs="宋体"/>
                <w:sz w:val="21"/>
                <w:szCs w:val="21"/>
                <w:highlight w:val="none"/>
                <w:lang w:bidi="ar"/>
              </w:rPr>
              <w:t>名称：</w:t>
            </w:r>
            <w:r>
              <w:rPr>
                <w:rStyle w:val="211"/>
                <w:rFonts w:hint="eastAsia" w:ascii="宋体" w:hAnsi="宋体" w:eastAsia="宋体" w:cs="宋体"/>
                <w:sz w:val="21"/>
                <w:szCs w:val="21"/>
                <w:highlight w:val="none"/>
                <w:lang w:val="en-US" w:eastAsia="zh-CN" w:bidi="ar"/>
              </w:rPr>
              <w:t>数据要素赋能数字化转型子系统建设项目-密码应用测评服务</w:t>
            </w:r>
          </w:p>
        </w:tc>
        <w:tc>
          <w:tcPr>
            <w:tcW w:w="5300" w:type="dxa"/>
            <w:gridSpan w:val="2"/>
            <w:noWrap w:val="0"/>
            <w:vAlign w:val="center"/>
          </w:tcPr>
          <w:p>
            <w:pPr>
              <w:spacing w:line="240" w:lineRule="auto"/>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为进一步推进本市卫生健康领域数字化改革工作，加快建立本院卫生行业数据要素赋能体系，需在持续深化原有应用场景的基础上，推动卫生健康数字化转型内涵式发展，充分利用数字化技术融合创新应用，支撑推动医疗健康服务体系流程再造，规则重构、功能塑造和生态新建，持续推进数据要素赋能便捷就医场景、医疗数据赋能健康“动”管理、激活数据要素潜能发展卫生健康新质生产力，持续提升医疗服务质量</w:t>
            </w:r>
          </w:p>
        </w:tc>
        <w:tc>
          <w:tcPr>
            <w:tcW w:w="1175" w:type="dxa"/>
            <w:noWrap w:val="0"/>
            <w:vAlign w:val="center"/>
          </w:tcPr>
          <w:p>
            <w:pPr>
              <w:rPr>
                <w:rFonts w:hint="eastAsia" w:ascii="宋体" w:hAnsi="宋体" w:eastAsia="宋体" w:cs="宋体"/>
                <w:b/>
                <w:sz w:val="21"/>
                <w:szCs w:val="21"/>
                <w:highlight w:val="none"/>
              </w:rPr>
            </w:pPr>
          </w:p>
        </w:tc>
        <w:tc>
          <w:tcPr>
            <w:tcW w:w="1097"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170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供应商资质</w:t>
            </w:r>
          </w:p>
        </w:tc>
        <w:tc>
          <w:tcPr>
            <w:tcW w:w="5300" w:type="dxa"/>
            <w:gridSpan w:val="2"/>
            <w:noWrap w:val="0"/>
            <w:vAlign w:val="center"/>
          </w:tcPr>
          <w:p>
            <w:pPr>
              <w:spacing w:line="240" w:lineRule="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供应商须具备经国家密码管理局认定的商用密码检测机构资质证书（业务范围：商用密码应用安全性评估）</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9280" w:type="dxa"/>
            <w:gridSpan w:val="5"/>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b/>
                <w:bCs/>
                <w:color w:val="000000" w:themeColor="text1"/>
                <w:kern w:val="0"/>
                <w:sz w:val="21"/>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noWrap w:val="0"/>
            <w:vAlign w:val="center"/>
          </w:tcPr>
          <w:p>
            <w:pPr>
              <w:spacing w:before="156" w:beforeLines="50" w:after="156" w:afterLines="50" w:line="24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val="0"/>
                <w:color w:val="000000" w:themeColor="text1"/>
                <w:kern w:val="2"/>
                <w:sz w:val="21"/>
                <w:szCs w:val="21"/>
                <w:lang w:val="en-US" w:eastAsia="zh-CN" w:bidi="ar-SA"/>
              </w:rPr>
              <w:t>测评内容</w:t>
            </w:r>
          </w:p>
        </w:tc>
        <w:tc>
          <w:tcPr>
            <w:tcW w:w="2387"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b/>
                <w:bCs/>
                <w:sz w:val="21"/>
                <w:szCs w:val="21"/>
              </w:rPr>
              <w:t>测评类别</w:t>
            </w:r>
          </w:p>
        </w:tc>
        <w:tc>
          <w:tcPr>
            <w:tcW w:w="2913" w:type="dxa"/>
            <w:noWrap w:val="0"/>
            <w:vAlign w:val="center"/>
          </w:tcPr>
          <w:p>
            <w:pPr>
              <w:spacing w:before="156" w:beforeLines="50" w:after="156" w:afterLines="50"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测评单元</w:t>
            </w:r>
          </w:p>
        </w:tc>
        <w:tc>
          <w:tcPr>
            <w:tcW w:w="11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097"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9280" w:type="dxa"/>
            <w:gridSpan w:val="5"/>
            <w:noWrap w:val="0"/>
            <w:vAlign w:val="center"/>
          </w:tcPr>
          <w:p>
            <w:pPr>
              <w:rPr>
                <w:rFonts w:hint="eastAsia" w:ascii="宋体" w:hAnsi="宋体" w:eastAsia="宋体" w:cs="宋体"/>
                <w:sz w:val="21"/>
                <w:szCs w:val="21"/>
                <w:highlight w:val="none"/>
              </w:rPr>
            </w:pPr>
            <w:r>
              <w:rPr>
                <w:rFonts w:hint="eastAsia" w:asciiTheme="minorEastAsia" w:hAnsiTheme="minorEastAsia" w:eastAsiaTheme="minorEastAsia" w:cstheme="minorEastAsia"/>
                <w:color w:val="000000"/>
                <w:kern w:val="2"/>
                <w:sz w:val="21"/>
                <w:szCs w:val="21"/>
                <w:lang w:val="en-US" w:eastAsia="zh-CN" w:bidi="ar-SA"/>
              </w:rPr>
              <w:t>安全技术测评：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物理和环境安全</w:t>
            </w:r>
          </w:p>
        </w:tc>
        <w:tc>
          <w:tcPr>
            <w:tcW w:w="2387" w:type="dxa"/>
            <w:vMerge w:val="restart"/>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安全技术测评-物理和环境安全</w:t>
            </w:r>
          </w:p>
        </w:tc>
        <w:tc>
          <w:tcPr>
            <w:tcW w:w="2913"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p>
        </w:tc>
        <w:tc>
          <w:tcPr>
            <w:tcW w:w="2387" w:type="dxa"/>
            <w:vMerge w:val="continue"/>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电子门禁记录数据完整性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p>
        </w:tc>
        <w:tc>
          <w:tcPr>
            <w:tcW w:w="2387" w:type="dxa"/>
            <w:vMerge w:val="continue"/>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视频记录数据完整性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网络和通信安全</w:t>
            </w:r>
          </w:p>
        </w:tc>
        <w:tc>
          <w:tcPr>
            <w:tcW w:w="2387" w:type="dxa"/>
            <w:vMerge w:val="restart"/>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安全技术测评-网络和通信安全</w:t>
            </w: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通信数据完整性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通信过程中重要数据的机密性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网络边界访问控制信息的完整性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安全接入认证</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安全设备和计算安全</w:t>
            </w:r>
          </w:p>
        </w:tc>
        <w:tc>
          <w:tcPr>
            <w:tcW w:w="2387" w:type="dxa"/>
            <w:vMerge w:val="restart"/>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安全技术测评-设备和计算</w:t>
            </w: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远程管理通道安全</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系统资源访问控制信息完整性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重要信息资源安全标记完整性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日志记录完整性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重要可执行程序完整性、重要可执行程序来源真实性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应用和数据安全</w:t>
            </w:r>
          </w:p>
        </w:tc>
        <w:tc>
          <w:tcPr>
            <w:tcW w:w="2387" w:type="dxa"/>
            <w:vMerge w:val="restart"/>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安全技术测评-应用和数据安全</w:t>
            </w:r>
          </w:p>
        </w:tc>
        <w:tc>
          <w:tcPr>
            <w:tcW w:w="2913" w:type="dxa"/>
            <w:noWrap w:val="0"/>
            <w:vAlign w:val="center"/>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访问控制信息完整性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重要信息资源安全标记完整性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重要数据传输机密性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重要数据存储机密性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重要数据传输完整性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重要数据存储完整性</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不可否认性</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2</w:t>
            </w:r>
          </w:p>
        </w:tc>
        <w:tc>
          <w:tcPr>
            <w:tcW w:w="9280" w:type="dxa"/>
            <w:gridSpan w:val="5"/>
            <w:noWrap w:val="0"/>
            <w:vAlign w:val="center"/>
          </w:tcPr>
          <w:p>
            <w:pPr>
              <w:rPr>
                <w:rFonts w:hint="eastAsia" w:ascii="宋体" w:hAnsi="宋体" w:eastAsia="宋体" w:cs="宋体"/>
                <w:kern w:val="2"/>
                <w:sz w:val="21"/>
                <w:szCs w:val="21"/>
                <w:highlight w:val="none"/>
                <w:lang w:val="en-US" w:eastAsia="zh-CN" w:bidi="ar-SA"/>
              </w:rPr>
            </w:pPr>
            <w:r>
              <w:rPr>
                <w:rFonts w:hint="eastAsia" w:asciiTheme="minorEastAsia" w:hAnsiTheme="minorEastAsia" w:eastAsiaTheme="minorEastAsia" w:cstheme="minorEastAsia"/>
                <w:sz w:val="21"/>
                <w:szCs w:val="21"/>
              </w:rPr>
              <w:t>安全管理测评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1）</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管理制度</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安全管理测评-管理制度</w:t>
            </w: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具备密码应用安全管理制度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密钥管理规则</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建立操作规程</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定期修订安全管理制度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明确管理制度发布流程</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制度执行过程记录留存</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2）</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人员管理</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安全管理测评-人员管理度</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了解并遵守密码相关法律法规和密码管理制度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建立密码应用岗位责任制度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建立上岗人员培训制度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定期进行安全岗位人员考核</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建立关键岗位人员保密制度和调离制度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3）</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建设运行</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安全管理测评-建设运行</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制定密码应用方案</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制定密钥安全管理策略</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制定实施方案</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投入运行前进行密码应用安全性评估</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定期开展密码应用安全性评估及攻防对抗演习</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应急处置</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安全管理测评-应急处置</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应急策略 </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事件处置</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向有关主管部门上报处置情况</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170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Times New Roman"/>
                <w:sz w:val="24"/>
                <w:szCs w:val="20"/>
                <w:highlight w:val="none"/>
              </w:rPr>
              <w:t>★</w:t>
            </w:r>
            <w:bookmarkStart w:id="61" w:name="_GoBack"/>
            <w:bookmarkEnd w:id="61"/>
            <w:r>
              <w:rPr>
                <w:rFonts w:hint="eastAsia" w:ascii="宋体" w:hAnsi="宋体" w:eastAsia="宋体" w:cs="宋体"/>
                <w:color w:val="auto"/>
                <w:sz w:val="21"/>
                <w:szCs w:val="21"/>
              </w:rPr>
              <w:t>验收标准</w:t>
            </w:r>
          </w:p>
        </w:tc>
        <w:tc>
          <w:tcPr>
            <w:tcW w:w="5300" w:type="dxa"/>
            <w:gridSpan w:val="2"/>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color w:val="000000" w:themeColor="text1"/>
                <w:sz w:val="21"/>
                <w:szCs w:val="21"/>
              </w:rPr>
              <w:t>提供《上海市中医医院数据要素赋能上海市卫生健康数字化转型子系统建设项目密码应用测评报告》</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售后服务要求</w:t>
            </w:r>
          </w:p>
        </w:tc>
        <w:tc>
          <w:tcPr>
            <w:tcW w:w="5300" w:type="dxa"/>
            <w:gridSpan w:val="2"/>
            <w:noWrap w:val="0"/>
            <w:vAlign w:val="center"/>
          </w:tcPr>
          <w:p>
            <w:pPr>
              <w:spacing w:before="156" w:beforeLines="50" w:after="156" w:afterLines="50" w:line="240" w:lineRule="auto"/>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投标人必须有完善的售后服务体系、售后服务措施和售后服务团队，同时可</w:t>
            </w:r>
            <w:r>
              <w:rPr>
                <w:rFonts w:hint="eastAsia" w:ascii="宋体" w:hAnsi="宋体" w:eastAsia="宋体" w:cs="宋体"/>
                <w:bCs/>
                <w:iCs/>
                <w:sz w:val="21"/>
                <w:szCs w:val="21"/>
              </w:rPr>
              <w:t>提供7*24小时热线电话服务</w:t>
            </w:r>
            <w:r>
              <w:rPr>
                <w:rFonts w:hint="eastAsia" w:ascii="宋体" w:hAnsi="宋体" w:eastAsia="宋体" w:cs="宋体"/>
                <w:bCs/>
                <w:iCs/>
                <w:sz w:val="21"/>
                <w:szCs w:val="21"/>
                <w:lang w:val="en-US" w:eastAsia="zh-CN"/>
              </w:rPr>
              <w:t>支持</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auto"/>
                <w:sz w:val="21"/>
                <w:szCs w:val="21"/>
                <w:lang w:val="en-US" w:eastAsia="zh-CN"/>
              </w:rPr>
            </w:pPr>
          </w:p>
        </w:tc>
        <w:tc>
          <w:tcPr>
            <w:tcW w:w="5300" w:type="dxa"/>
            <w:gridSpan w:val="2"/>
            <w:noWrap w:val="0"/>
            <w:vAlign w:val="center"/>
          </w:tcPr>
          <w:p>
            <w:pPr>
              <w:spacing w:before="156" w:beforeLines="50" w:after="156" w:afterLines="5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项目完成密码测评验收后，</w:t>
            </w:r>
            <w:r>
              <w:rPr>
                <w:rFonts w:hint="eastAsia" w:ascii="宋体" w:hAnsi="宋体" w:eastAsia="宋体" w:cs="宋体"/>
                <w:sz w:val="21"/>
                <w:szCs w:val="21"/>
                <w:lang w:val="en-US" w:eastAsia="zh-CN"/>
              </w:rPr>
              <w:t>至少</w:t>
            </w:r>
            <w:r>
              <w:rPr>
                <w:rFonts w:hint="eastAsia" w:ascii="宋体" w:hAnsi="宋体" w:eastAsia="宋体" w:cs="宋体"/>
                <w:sz w:val="21"/>
                <w:szCs w:val="21"/>
              </w:rPr>
              <w:t>一年内免费提供密码测评相关的售后咨询服务</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数据要素赋能数字化转型子系统建设项目-密码应用测评服务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458971242"/>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69531691"/>
      <w:bookmarkStart w:id="19" w:name="_Toc352691655"/>
      <w:bookmarkStart w:id="20" w:name="_Toc7039"/>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6931"/>
      <w:bookmarkStart w:id="22" w:name="_Toc352691656"/>
      <w:bookmarkStart w:id="23" w:name="_Toc369531692"/>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数据要素赋能数字化转型子系统建设项目-密码应用测评服务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352691658"/>
      <w:bookmarkStart w:id="26" w:name="_Toc1187"/>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69531695"/>
      <w:bookmarkStart w:id="28" w:name="_Toc16568"/>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352691660"/>
      <w:bookmarkStart w:id="32" w:name="_Toc16824"/>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00835209"/>
      <w:bookmarkStart w:id="34" w:name="_Toc247527827"/>
      <w:bookmarkStart w:id="35" w:name="_Toc152045787"/>
      <w:bookmarkStart w:id="36" w:name="_Toc369531697"/>
      <w:bookmarkStart w:id="37" w:name="_Toc247514246"/>
      <w:bookmarkStart w:id="38" w:name="_Toc144974856"/>
      <w:bookmarkStart w:id="39" w:name="_Toc361508752"/>
      <w:bookmarkStart w:id="40" w:name="_Toc17960"/>
      <w:bookmarkStart w:id="41" w:name="_Toc152042576"/>
      <w:bookmarkStart w:id="42" w:name="_Toc384308375"/>
      <w:bookmarkStart w:id="43" w:name="_Toc352691661"/>
      <w:r>
        <w:rPr>
          <w:rFonts w:hint="eastAsia" w:ascii="宋体" w:hAnsi="宋体" w:eastAsia="宋体" w:cs="Times New Roman"/>
          <w:b/>
          <w:sz w:val="24"/>
          <w:szCs w:val="24"/>
          <w:highlight w:val="none"/>
        </w:rPr>
        <w:br w:type="page"/>
      </w:r>
      <w:bookmarkStart w:id="44" w:name="_Toc392227908"/>
      <w:bookmarkStart w:id="45" w:name="_Toc458971245"/>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_Toc458971246"/>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数据要素赋能数字化转型子系统建设项目-密码应用测评服务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数据要素赋能数字化转型子系统建设项目-密码应用测评服务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8971250"/>
      <w:bookmarkStart w:id="52" w:name="_Toc392227913"/>
      <w:bookmarkStart w:id="53" w:name="_Toc457748057"/>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392227915"/>
      <w:bookmarkStart w:id="56" w:name="_Toc458971251"/>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5E37828"/>
    <w:rsid w:val="17B6127B"/>
    <w:rsid w:val="180D5475"/>
    <w:rsid w:val="20B74BBF"/>
    <w:rsid w:val="28787F75"/>
    <w:rsid w:val="2ADF50F8"/>
    <w:rsid w:val="3AD547B2"/>
    <w:rsid w:val="3D5501C4"/>
    <w:rsid w:val="41BC67ED"/>
    <w:rsid w:val="452A3CD4"/>
    <w:rsid w:val="5C6240FA"/>
    <w:rsid w:val="5DE8171B"/>
    <w:rsid w:val="645F409A"/>
    <w:rsid w:val="66F931CB"/>
    <w:rsid w:val="6B404956"/>
    <w:rsid w:val="6F0108ED"/>
    <w:rsid w:val="6F0A1AA0"/>
    <w:rsid w:val="74E65469"/>
    <w:rsid w:val="79CD0AA0"/>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5662</Words>
  <Characters>6122</Characters>
  <Lines>53</Lines>
  <Paragraphs>15</Paragraphs>
  <TotalTime>0</TotalTime>
  <ScaleCrop>false</ScaleCrop>
  <LinksUpToDate>false</LinksUpToDate>
  <CharactersWithSpaces>7232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2025-05-29T00:20:43Z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