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嘉定院区病案示踪系统运维保障</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19</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05</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3</w:t>
      </w:r>
      <w:bookmarkStart w:id="61" w:name="_GoBack"/>
      <w:bookmarkEnd w:id="61"/>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516880880"/>
      <w:bookmarkStart w:id="10" w:name="_Toc9066359"/>
      <w:bookmarkStart w:id="11" w:name="_Toc11326093"/>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嘉定院区病案示踪系统运维保障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9066360"/>
      <w:bookmarkStart w:id="13" w:name="_Toc11326094"/>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color w:val="auto"/>
          <w:sz w:val="24"/>
          <w:szCs w:val="24"/>
        </w:rPr>
        <w:t>总体建设目标</w:t>
      </w:r>
    </w:p>
    <w:p>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确保病案示踪运行期间的数据完整、准确、安全、与HIS系统的数据一致性</w:t>
      </w:r>
      <w:r>
        <w:rPr>
          <w:rFonts w:hint="eastAsia" w:ascii="宋体" w:hAnsi="宋体" w:eastAsia="宋体" w:cs="宋体"/>
          <w:b w:val="0"/>
          <w:bCs/>
          <w:color w:val="auto"/>
          <w:sz w:val="24"/>
          <w:szCs w:val="24"/>
          <w:lang w:eastAsia="zh-CN"/>
        </w:rPr>
        <w:t>。</w:t>
      </w:r>
    </w:p>
    <w:p>
      <w:pPr>
        <w:spacing w:line="360" w:lineRule="auto"/>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WEB版程序、PDA扫描枪APP等程序运行正常，并根据医生或者病案管理科需求进行二次开发。</w:t>
      </w:r>
    </w:p>
    <w:p>
      <w:pPr>
        <w:spacing w:before="156" w:beforeLines="50" w:after="156" w:afterLines="50" w:line="360" w:lineRule="auto"/>
        <w:ind w:firstLine="420" w:firstLineChars="200"/>
        <w:rPr>
          <w:rFonts w:ascii="宋体" w:hAnsi="宋体" w:eastAsia="宋体"/>
          <w:sz w:val="21"/>
          <w:szCs w:val="21"/>
        </w:rPr>
      </w:pPr>
    </w:p>
    <w:p>
      <w:pPr>
        <w:pStyle w:val="3"/>
        <w:spacing w:before="156" w:beforeLines="50" w:after="156" w:afterLines="5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 </w:t>
      </w:r>
      <w:r>
        <w:rPr>
          <w:rFonts w:hint="eastAsia" w:ascii="宋体" w:hAnsi="宋体" w:eastAsia="宋体" w:cs="宋体"/>
          <w:color w:val="auto"/>
          <w:sz w:val="24"/>
          <w:szCs w:val="24"/>
          <w:lang w:val="en-US" w:eastAsia="zh-CN"/>
        </w:rPr>
        <w:t>项目内容</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895"/>
        <w:gridCol w:w="152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cs="宋体"/>
                <w:b/>
                <w:szCs w:val="21"/>
                <w:highlight w:val="none"/>
              </w:rPr>
            </w:pPr>
            <w:bookmarkStart w:id="14" w:name="_Toc11326096"/>
            <w:r>
              <w:rPr>
                <w:rFonts w:hint="eastAsia" w:ascii="宋体" w:hAnsi="宋体" w:cs="宋体"/>
                <w:b/>
                <w:szCs w:val="21"/>
                <w:highlight w:val="none"/>
              </w:rPr>
              <w:t>序号</w:t>
            </w:r>
          </w:p>
        </w:tc>
        <w:tc>
          <w:tcPr>
            <w:tcW w:w="2168"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lang w:val="en-US" w:eastAsia="zh-CN"/>
              </w:rPr>
              <w:t>采购</w:t>
            </w:r>
            <w:r>
              <w:rPr>
                <w:rFonts w:hint="eastAsia" w:ascii="宋体" w:hAnsi="宋体" w:cs="宋体"/>
                <w:b/>
                <w:szCs w:val="21"/>
                <w:highlight w:val="none"/>
              </w:rPr>
              <w:t>要求</w:t>
            </w:r>
          </w:p>
        </w:tc>
        <w:tc>
          <w:tcPr>
            <w:tcW w:w="4895" w:type="dxa"/>
            <w:noWrap w:val="0"/>
            <w:vAlign w:val="center"/>
          </w:tcPr>
          <w:p>
            <w:pPr>
              <w:spacing w:line="360" w:lineRule="auto"/>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指标要求</w:t>
            </w:r>
          </w:p>
        </w:tc>
        <w:tc>
          <w:tcPr>
            <w:tcW w:w="1523"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lang w:val="en-US" w:eastAsia="zh-CN"/>
              </w:rPr>
              <w:t>供应商</w:t>
            </w:r>
            <w:r>
              <w:rPr>
                <w:rFonts w:hint="eastAsia" w:ascii="宋体" w:hAnsi="宋体" w:cs="宋体"/>
                <w:b/>
                <w:szCs w:val="21"/>
                <w:highlight w:val="none"/>
              </w:rPr>
              <w:t>响应</w:t>
            </w:r>
          </w:p>
        </w:tc>
        <w:tc>
          <w:tcPr>
            <w:tcW w:w="1164"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w:t>
            </w:r>
          </w:p>
        </w:tc>
        <w:tc>
          <w:tcPr>
            <w:tcW w:w="9750" w:type="dxa"/>
            <w:gridSpan w:val="4"/>
            <w:noWrap w:val="0"/>
            <w:vAlign w:val="center"/>
          </w:tcPr>
          <w:p>
            <w:pPr>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总体需求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kern w:val="0"/>
                <w:sz w:val="21"/>
                <w:szCs w:val="21"/>
                <w:highlight w:val="none"/>
                <w:lang w:val="en-US" w:eastAsia="zh-CN"/>
              </w:rPr>
              <w:t>建设周期</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b w:val="0"/>
                <w:bCs/>
                <w:color w:val="auto"/>
                <w:sz w:val="21"/>
                <w:szCs w:val="21"/>
              </w:rPr>
              <w:t>本项目要求在合同签订之后三个月内接手现有示踪系统，进入试运行，确保系统稳定运行</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服务周期</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b w:val="0"/>
                <w:bCs/>
                <w:color w:val="auto"/>
                <w:sz w:val="21"/>
                <w:szCs w:val="21"/>
              </w:rPr>
              <w:t>2025</w:t>
            </w:r>
            <w:r>
              <w:rPr>
                <w:rFonts w:hint="eastAsia" w:ascii="宋体" w:hAnsi="宋体" w:eastAsia="宋体" w:cs="宋体"/>
                <w:b w:val="0"/>
                <w:bCs/>
                <w:color w:val="auto"/>
                <w:sz w:val="21"/>
                <w:szCs w:val="21"/>
                <w:lang w:val="en-US" w:eastAsia="zh-CN"/>
              </w:rPr>
              <w:t>年0</w:t>
            </w:r>
            <w:r>
              <w:rPr>
                <w:rFonts w:hint="eastAsia" w:ascii="宋体" w:hAnsi="宋体" w:eastAsia="宋体" w:cs="宋体"/>
                <w:b w:val="0"/>
                <w:bCs/>
                <w:color w:val="auto"/>
                <w:sz w:val="21"/>
                <w:szCs w:val="21"/>
              </w:rPr>
              <w:t>7</w:t>
            </w:r>
            <w:r>
              <w:rPr>
                <w:rFonts w:hint="eastAsia" w:ascii="宋体" w:hAnsi="宋体" w:eastAsia="宋体" w:cs="宋体"/>
                <w:b w:val="0"/>
                <w:bCs/>
                <w:color w:val="auto"/>
                <w:sz w:val="21"/>
                <w:szCs w:val="21"/>
                <w:lang w:val="en-US" w:eastAsia="zh-CN"/>
              </w:rPr>
              <w:t>月0</w:t>
            </w: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日至</w:t>
            </w:r>
            <w:r>
              <w:rPr>
                <w:rFonts w:hint="eastAsia" w:ascii="宋体" w:hAnsi="宋体" w:eastAsia="宋体" w:cs="宋体"/>
                <w:b w:val="0"/>
                <w:bCs/>
                <w:color w:val="auto"/>
                <w:sz w:val="21"/>
                <w:szCs w:val="21"/>
              </w:rPr>
              <w:t>2026</w:t>
            </w:r>
            <w:r>
              <w:rPr>
                <w:rFonts w:hint="eastAsia" w:ascii="宋体" w:hAnsi="宋体" w:eastAsia="宋体" w:cs="宋体"/>
                <w:b w:val="0"/>
                <w:bCs/>
                <w:color w:val="auto"/>
                <w:sz w:val="21"/>
                <w:szCs w:val="21"/>
                <w:lang w:val="en-US" w:eastAsia="zh-CN"/>
              </w:rPr>
              <w:t>年</w:t>
            </w:r>
            <w:r>
              <w:rPr>
                <w:rFonts w:hint="eastAsia" w:ascii="宋体" w:hAnsi="宋体" w:eastAsia="宋体" w:cs="宋体"/>
                <w:b w:val="0"/>
                <w:bCs/>
                <w:color w:val="auto"/>
                <w:sz w:val="21"/>
                <w:szCs w:val="21"/>
              </w:rPr>
              <w:t>06</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30</w:t>
            </w:r>
            <w:r>
              <w:rPr>
                <w:rFonts w:hint="eastAsia" w:ascii="宋体" w:hAnsi="宋体" w:eastAsia="宋体" w:cs="宋体"/>
                <w:b w:val="0"/>
                <w:bCs/>
                <w:color w:val="auto"/>
                <w:sz w:val="21"/>
                <w:szCs w:val="21"/>
                <w:lang w:val="en-US" w:eastAsia="zh-CN"/>
              </w:rPr>
              <w:t>日</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二次开发</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b w:val="0"/>
                <w:bCs/>
                <w:color w:val="auto"/>
                <w:sz w:val="21"/>
                <w:szCs w:val="21"/>
              </w:rPr>
              <w:t>试运行结束，进入正式运行阶段，需要调研系统扩展需求，并做出详细需求分析以及二次开发准备</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default" w:ascii="宋体" w:hAnsi="宋体" w:eastAsia="宋体" w:cs="宋体"/>
                <w:b/>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改造及升级</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b w:val="0"/>
                <w:bCs/>
                <w:color w:val="auto"/>
                <w:sz w:val="21"/>
                <w:szCs w:val="21"/>
              </w:rPr>
              <w:t>合作期内免费配合甲方做系统改造和升级</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widowControl/>
              <w:spacing w:line="360" w:lineRule="auto"/>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w:t>
            </w:r>
          </w:p>
        </w:tc>
        <w:tc>
          <w:tcPr>
            <w:tcW w:w="9750" w:type="dxa"/>
            <w:gridSpan w:val="4"/>
            <w:noWrap w:val="0"/>
            <w:vAlign w:val="center"/>
          </w:tcPr>
          <w:p>
            <w:pPr>
              <w:spacing w:line="360" w:lineRule="auto"/>
              <w:rPr>
                <w:rFonts w:hint="eastAsia" w:ascii="宋体" w:hAnsi="宋体" w:cs="宋体"/>
                <w:szCs w:val="21"/>
                <w:highlight w:val="none"/>
              </w:rPr>
            </w:pPr>
            <w:r>
              <w:rPr>
                <w:rFonts w:hint="eastAsia" w:ascii="宋体" w:hAnsi="宋体" w:eastAsia="宋体" w:cs="宋体"/>
                <w:b/>
                <w:bCs/>
                <w:color w:val="auto"/>
                <w:sz w:val="21"/>
                <w:szCs w:val="21"/>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eastAsia="zh-CN" w:bidi="ar"/>
              </w:rPr>
              <w:t>）</w:t>
            </w:r>
          </w:p>
        </w:tc>
        <w:tc>
          <w:tcPr>
            <w:tcW w:w="2168"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支持大并发</w:t>
            </w:r>
          </w:p>
        </w:tc>
        <w:tc>
          <w:tcPr>
            <w:tcW w:w="4895"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系统能够支持3000人并发使用，包含移动端及电脑端，将来可扩展至5000人以上，并可灵活升级授权，无需重新部署系统</w:t>
            </w:r>
          </w:p>
        </w:tc>
        <w:tc>
          <w:tcPr>
            <w:tcW w:w="1523" w:type="dxa"/>
            <w:noWrap w:val="0"/>
            <w:vAlign w:val="center"/>
          </w:tcPr>
          <w:p>
            <w:pPr>
              <w:spacing w:line="360" w:lineRule="auto"/>
              <w:rPr>
                <w:rFonts w:hint="eastAsia" w:ascii="宋体" w:hAnsi="宋体" w:cs="宋体"/>
                <w:szCs w:val="21"/>
                <w:highlight w:val="none"/>
              </w:rPr>
            </w:pPr>
          </w:p>
        </w:tc>
        <w:tc>
          <w:tcPr>
            <w:tcW w:w="1164" w:type="dxa"/>
            <w:noWrap w:val="0"/>
            <w:vAlign w:val="center"/>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bidi="ar"/>
              </w:rPr>
              <w:t>2</w:t>
            </w:r>
            <w:r>
              <w:rPr>
                <w:rFonts w:hint="eastAsia" w:ascii="宋体" w:hAnsi="宋体" w:eastAsia="宋体" w:cs="宋体"/>
                <w:b w:val="0"/>
                <w:bCs w:val="0"/>
                <w:color w:val="000000"/>
                <w:kern w:val="0"/>
                <w:sz w:val="21"/>
                <w:szCs w:val="21"/>
                <w:lang w:eastAsia="zh-CN" w:bidi="ar"/>
              </w:rPr>
              <w:t>）</w:t>
            </w:r>
          </w:p>
        </w:tc>
        <w:tc>
          <w:tcPr>
            <w:tcW w:w="2168" w:type="dxa"/>
            <w:noWrap w:val="0"/>
            <w:vAlign w:val="center"/>
          </w:tcPr>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auto"/>
                <w:kern w:val="0"/>
                <w:sz w:val="21"/>
                <w:szCs w:val="21"/>
                <w:lang w:val="zh-CN"/>
              </w:rPr>
              <w:t>开发平台</w:t>
            </w:r>
          </w:p>
        </w:tc>
        <w:tc>
          <w:tcPr>
            <w:tcW w:w="4895" w:type="dxa"/>
            <w:noWrap w:val="0"/>
            <w:vAlign w:val="center"/>
          </w:tcPr>
          <w:p>
            <w:pPr>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kern w:val="0"/>
                <w:sz w:val="21"/>
                <w:szCs w:val="21"/>
                <w:lang w:val="zh-CN"/>
              </w:rPr>
              <w:t>采用主流开发框架平台</w:t>
            </w:r>
          </w:p>
        </w:tc>
        <w:tc>
          <w:tcPr>
            <w:tcW w:w="1523" w:type="dxa"/>
            <w:noWrap w:val="0"/>
            <w:vAlign w:val="center"/>
          </w:tcPr>
          <w:p>
            <w:pPr>
              <w:spacing w:line="360" w:lineRule="auto"/>
              <w:rPr>
                <w:rFonts w:hint="eastAsia" w:ascii="宋体" w:hAnsi="宋体" w:cs="宋体"/>
                <w:szCs w:val="21"/>
                <w:highlight w:val="none"/>
              </w:rPr>
            </w:pPr>
          </w:p>
        </w:tc>
        <w:tc>
          <w:tcPr>
            <w:tcW w:w="1164" w:type="dxa"/>
            <w:noWrap w:val="0"/>
            <w:vAlign w:val="center"/>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bidi="ar"/>
              </w:rPr>
              <w:t>3</w:t>
            </w:r>
            <w:r>
              <w:rPr>
                <w:rFonts w:hint="eastAsia" w:ascii="宋体" w:hAnsi="宋体" w:eastAsia="宋体" w:cs="宋体"/>
                <w:b w:val="0"/>
                <w:bCs w:val="0"/>
                <w:color w:val="000000"/>
                <w:kern w:val="0"/>
                <w:sz w:val="21"/>
                <w:szCs w:val="21"/>
                <w:lang w:eastAsia="zh-CN" w:bidi="ar"/>
              </w:rPr>
              <w:t>）</w:t>
            </w:r>
          </w:p>
        </w:tc>
        <w:tc>
          <w:tcPr>
            <w:tcW w:w="2168"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跨多平台</w:t>
            </w:r>
          </w:p>
        </w:tc>
        <w:tc>
          <w:tcPr>
            <w:tcW w:w="4895"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支持当前业界绝大多数操作系统平台如：Windows、Unix、Linux等</w:t>
            </w:r>
          </w:p>
        </w:tc>
        <w:tc>
          <w:tcPr>
            <w:tcW w:w="1523" w:type="dxa"/>
            <w:noWrap w:val="0"/>
            <w:vAlign w:val="center"/>
          </w:tcPr>
          <w:p>
            <w:pPr>
              <w:spacing w:line="360" w:lineRule="auto"/>
              <w:rPr>
                <w:rFonts w:hint="eastAsia" w:ascii="宋体" w:hAnsi="宋体" w:cs="宋体"/>
                <w:szCs w:val="21"/>
                <w:highlight w:val="none"/>
              </w:rPr>
            </w:pPr>
          </w:p>
        </w:tc>
        <w:tc>
          <w:tcPr>
            <w:tcW w:w="1164" w:type="dxa"/>
            <w:noWrap w:val="0"/>
            <w:vAlign w:val="center"/>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bidi="ar"/>
              </w:rPr>
              <w:t>4</w:t>
            </w:r>
            <w:r>
              <w:rPr>
                <w:rFonts w:hint="eastAsia" w:ascii="宋体" w:hAnsi="宋体" w:eastAsia="宋体" w:cs="宋体"/>
                <w:b w:val="0"/>
                <w:bCs w:val="0"/>
                <w:color w:val="000000"/>
                <w:kern w:val="0"/>
                <w:sz w:val="21"/>
                <w:szCs w:val="21"/>
                <w:lang w:eastAsia="zh-CN" w:bidi="ar"/>
              </w:rPr>
              <w:t>）</w:t>
            </w:r>
          </w:p>
        </w:tc>
        <w:tc>
          <w:tcPr>
            <w:tcW w:w="2168"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跨浏览器</w:t>
            </w:r>
          </w:p>
        </w:tc>
        <w:tc>
          <w:tcPr>
            <w:tcW w:w="4895"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支持跨浏览器访问，需支持IE、Safari、火狐、360、遨游、谷歌等浏览器，并附真实系统截图</w:t>
            </w:r>
          </w:p>
        </w:tc>
        <w:tc>
          <w:tcPr>
            <w:tcW w:w="1523" w:type="dxa"/>
            <w:noWrap w:val="0"/>
            <w:vAlign w:val="center"/>
          </w:tcPr>
          <w:p>
            <w:pPr>
              <w:spacing w:line="360" w:lineRule="auto"/>
              <w:rPr>
                <w:rFonts w:hint="eastAsia" w:ascii="宋体" w:hAnsi="宋体" w:cs="宋体"/>
                <w:szCs w:val="21"/>
                <w:highlight w:val="none"/>
              </w:rPr>
            </w:pPr>
          </w:p>
        </w:tc>
        <w:tc>
          <w:tcPr>
            <w:tcW w:w="1164" w:type="dxa"/>
            <w:noWrap w:val="0"/>
            <w:vAlign w:val="center"/>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widowControl/>
              <w:spacing w:line="360" w:lineRule="auto"/>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w:t>
            </w:r>
          </w:p>
        </w:tc>
        <w:tc>
          <w:tcPr>
            <w:tcW w:w="9750" w:type="dxa"/>
            <w:gridSpan w:val="4"/>
            <w:noWrap w:val="0"/>
            <w:vAlign w:val="center"/>
          </w:tcPr>
          <w:p>
            <w:pPr>
              <w:spacing w:line="360" w:lineRule="auto"/>
              <w:rPr>
                <w:rFonts w:hint="eastAsia" w:ascii="宋体" w:hAnsi="宋体" w:cs="宋体"/>
                <w:szCs w:val="21"/>
                <w:highlight w:val="none"/>
              </w:rPr>
            </w:pPr>
            <w:r>
              <w:rPr>
                <w:rFonts w:hint="eastAsia" w:ascii="宋体" w:hAnsi="宋体" w:eastAsia="宋体" w:cs="宋体"/>
                <w:b/>
                <w:bCs/>
                <w:color w:val="auto"/>
                <w:sz w:val="21"/>
                <w:szCs w:val="21"/>
              </w:rPr>
              <w:t>详细功能需求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eastAsia="zh-CN" w:bidi="ar"/>
              </w:rPr>
              <w:t>）</w:t>
            </w:r>
          </w:p>
        </w:tc>
        <w:tc>
          <w:tcPr>
            <w:tcW w:w="7063" w:type="dxa"/>
            <w:gridSpan w:val="2"/>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医生端和病案管理科的病案管理程序必须采用B/S架构，完全浏览器界面，客户端零安装。病案示踪的</w:t>
            </w:r>
            <w:r>
              <w:rPr>
                <w:rFonts w:hint="eastAsia" w:ascii="宋体" w:hAnsi="宋体" w:eastAsia="宋体" w:cs="宋体"/>
                <w:b w:val="0"/>
                <w:bCs w:val="0"/>
                <w:color w:val="auto"/>
                <w:sz w:val="21"/>
                <w:szCs w:val="21"/>
              </w:rPr>
              <w:t>接收、质控、扫描、质控、上架、装箱、借阅、打印邮寄等状态，</w:t>
            </w:r>
            <w:r>
              <w:rPr>
                <w:rFonts w:hint="eastAsia" w:ascii="宋体" w:hAnsi="宋体" w:eastAsia="宋体" w:cs="宋体"/>
                <w:b w:val="0"/>
                <w:bCs w:val="0"/>
                <w:color w:val="auto"/>
                <w:kern w:val="0"/>
                <w:sz w:val="21"/>
                <w:szCs w:val="21"/>
                <w:lang w:val="zh-CN"/>
              </w:rPr>
              <w:t>提供稳定运行的支持，对数据不一致性的操作等，后续需求的整理和二次开发</w:t>
            </w:r>
          </w:p>
        </w:tc>
        <w:tc>
          <w:tcPr>
            <w:tcW w:w="1523" w:type="dxa"/>
          </w:tcPr>
          <w:p>
            <w:pPr>
              <w:spacing w:line="360" w:lineRule="auto"/>
              <w:rPr>
                <w:rFonts w:hint="eastAsia" w:ascii="宋体" w:hAnsi="宋体" w:cs="宋体"/>
                <w:szCs w:val="21"/>
                <w:highlight w:val="none"/>
              </w:rPr>
            </w:pPr>
          </w:p>
        </w:tc>
        <w:tc>
          <w:tcPr>
            <w:tcW w:w="0" w:type="auto"/>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w:t>
            </w:r>
          </w:p>
        </w:tc>
        <w:tc>
          <w:tcPr>
            <w:tcW w:w="7063" w:type="dxa"/>
            <w:gridSpan w:val="2"/>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病案示踪助手APP必须采用Android架构，APP软件安装方便、简洁；APP使用简便；后期易于维护和二次开发</w:t>
            </w:r>
          </w:p>
        </w:tc>
        <w:tc>
          <w:tcPr>
            <w:tcW w:w="1523" w:type="dxa"/>
          </w:tcPr>
          <w:p>
            <w:pPr>
              <w:spacing w:line="360" w:lineRule="auto"/>
              <w:rPr>
                <w:rFonts w:hint="eastAsia" w:ascii="宋体" w:hAnsi="宋体" w:cs="宋体"/>
                <w:szCs w:val="21"/>
                <w:highlight w:val="none"/>
              </w:rPr>
            </w:pPr>
          </w:p>
        </w:tc>
        <w:tc>
          <w:tcPr>
            <w:tcW w:w="0" w:type="auto"/>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pPr>
              <w:widowControl/>
              <w:spacing w:line="360" w:lineRule="auto"/>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w:t>
            </w:r>
          </w:p>
        </w:tc>
        <w:tc>
          <w:tcPr>
            <w:tcW w:w="7063" w:type="dxa"/>
            <w:gridSpan w:val="2"/>
            <w:vAlign w:val="center"/>
          </w:tcPr>
          <w:p>
            <w:pPr>
              <w:widowControl/>
              <w:spacing w:line="360" w:lineRule="auto"/>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kern w:val="0"/>
                <w:sz w:val="21"/>
                <w:szCs w:val="21"/>
                <w:lang w:val="zh-CN"/>
              </w:rPr>
              <w:t>病案示踪系统的微信版本复印小程序的稳定运行和后续需求更新</w:t>
            </w:r>
          </w:p>
        </w:tc>
        <w:tc>
          <w:tcPr>
            <w:tcW w:w="1523" w:type="dxa"/>
          </w:tcPr>
          <w:p>
            <w:pPr>
              <w:spacing w:line="360" w:lineRule="auto"/>
              <w:rPr>
                <w:rFonts w:hint="eastAsia" w:ascii="宋体" w:hAnsi="宋体" w:cs="宋体"/>
                <w:szCs w:val="21"/>
                <w:highlight w:val="none"/>
              </w:rPr>
            </w:pPr>
          </w:p>
        </w:tc>
        <w:tc>
          <w:tcPr>
            <w:tcW w:w="0" w:type="auto"/>
          </w:tcPr>
          <w:p>
            <w:pPr>
              <w:spacing w:line="360" w:lineRule="auto"/>
              <w:rPr>
                <w:rFonts w:hint="eastAsia" w:ascii="宋体" w:hAnsi="宋体" w:cs="宋体"/>
                <w:szCs w:val="21"/>
                <w:highlight w:val="none"/>
              </w:rPr>
            </w:pPr>
          </w:p>
        </w:tc>
      </w:tr>
    </w:tbl>
    <w:p>
      <w:pPr>
        <w:numPr>
          <w:ilvl w:val="0"/>
          <w:numId w:val="0"/>
        </w:numPr>
        <w:jc w:val="both"/>
        <w:rPr>
          <w:rFonts w:hint="eastAsia" w:ascii="宋体" w:hAnsi="宋体" w:eastAsia="宋体" w:cs="宋体"/>
          <w:b/>
          <w:bCs/>
          <w:color w:val="auto"/>
          <w:kern w:val="2"/>
          <w:sz w:val="24"/>
          <w:szCs w:val="24"/>
          <w:lang w:val="en-US" w:eastAsia="zh-CN" w:bidi="ar-SA"/>
        </w:rPr>
      </w:pPr>
    </w:p>
    <w:p>
      <w:pPr>
        <w:numPr>
          <w:ilvl w:val="0"/>
          <w:numId w:val="0"/>
        </w:numPr>
        <w:jc w:val="both"/>
        <w:rPr>
          <w:rFonts w:hint="eastAsia" w:ascii="宋体" w:hAnsi="宋体" w:eastAsia="宋体" w:cs="宋体"/>
          <w:b/>
          <w:bCs/>
          <w:color w:val="auto"/>
          <w:kern w:val="2"/>
          <w:sz w:val="24"/>
          <w:szCs w:val="24"/>
          <w:lang w:val="en-US" w:eastAsia="zh-CN" w:bidi="ar-SA"/>
        </w:rPr>
      </w:pPr>
    </w:p>
    <w:p>
      <w:pPr>
        <w:numPr>
          <w:ilvl w:val="0"/>
          <w:numId w:val="4"/>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工作内容清单</w:t>
      </w:r>
    </w:p>
    <w:tbl>
      <w:tblPr>
        <w:tblStyle w:val="31"/>
        <w:tblW w:w="5000" w:type="pct"/>
        <w:tblInd w:w="0" w:type="dxa"/>
        <w:tblLayout w:type="autofit"/>
        <w:tblCellMar>
          <w:top w:w="0" w:type="dxa"/>
          <w:left w:w="108" w:type="dxa"/>
          <w:bottom w:w="0" w:type="dxa"/>
          <w:right w:w="108" w:type="dxa"/>
        </w:tblCellMar>
      </w:tblPr>
      <w:tblGrid>
        <w:gridCol w:w="2028"/>
        <w:gridCol w:w="3116"/>
        <w:gridCol w:w="4417"/>
      </w:tblGrid>
      <w:tr>
        <w:tblPrEx>
          <w:tblCellMar>
            <w:top w:w="0" w:type="dxa"/>
            <w:left w:w="108" w:type="dxa"/>
            <w:bottom w:w="0" w:type="dxa"/>
            <w:right w:w="108" w:type="dxa"/>
          </w:tblCellMar>
        </w:tblPrEx>
        <w:trPr>
          <w:trHeight w:val="177" w:hRule="atLeast"/>
        </w:trPr>
        <w:tc>
          <w:tcPr>
            <w:tcW w:w="1060" w:type="pct"/>
            <w:tcBorders>
              <w:top w:val="single" w:color="auto" w:sz="4" w:space="0"/>
              <w:left w:val="single" w:color="auto" w:sz="4" w:space="0"/>
              <w:bottom w:val="single" w:color="auto" w:sz="4" w:space="0"/>
              <w:right w:val="single" w:color="auto" w:sz="4" w:space="0"/>
            </w:tcBorders>
            <w:shd w:val="clear" w:color="000000" w:fill="B4C6E7"/>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序号</w:t>
            </w:r>
          </w:p>
        </w:tc>
        <w:tc>
          <w:tcPr>
            <w:tcW w:w="1629" w:type="pct"/>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模块名称</w:t>
            </w:r>
          </w:p>
        </w:tc>
        <w:tc>
          <w:tcPr>
            <w:tcW w:w="2309" w:type="pct"/>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维护内容</w:t>
            </w:r>
          </w:p>
        </w:tc>
      </w:tr>
      <w:tr>
        <w:tblPrEx>
          <w:tblCellMar>
            <w:top w:w="0" w:type="dxa"/>
            <w:left w:w="108" w:type="dxa"/>
            <w:bottom w:w="0" w:type="dxa"/>
            <w:right w:w="108" w:type="dxa"/>
          </w:tblCellMar>
        </w:tblPrEx>
        <w:trPr>
          <w:trHeight w:val="280" w:hRule="atLeast"/>
        </w:trPr>
        <w:tc>
          <w:tcPr>
            <w:tcW w:w="10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6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信息化系统维护</w:t>
            </w:r>
          </w:p>
        </w:tc>
        <w:tc>
          <w:tcPr>
            <w:tcW w:w="2309"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正常运行保障</w:t>
            </w:r>
          </w:p>
        </w:tc>
      </w:tr>
      <w:tr>
        <w:tblPrEx>
          <w:tblCellMar>
            <w:top w:w="0" w:type="dxa"/>
            <w:left w:w="108" w:type="dxa"/>
            <w:bottom w:w="0" w:type="dxa"/>
            <w:right w:w="108" w:type="dxa"/>
          </w:tblCellMar>
        </w:tblPrEx>
        <w:trPr>
          <w:trHeight w:val="280" w:hRule="atLeast"/>
        </w:trPr>
        <w:tc>
          <w:tcPr>
            <w:tcW w:w="10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629"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309"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需求梳理反馈</w:t>
            </w:r>
          </w:p>
        </w:tc>
      </w:tr>
      <w:tr>
        <w:tblPrEx>
          <w:tblCellMar>
            <w:top w:w="0" w:type="dxa"/>
            <w:left w:w="108" w:type="dxa"/>
            <w:bottom w:w="0" w:type="dxa"/>
            <w:right w:w="108" w:type="dxa"/>
          </w:tblCellMar>
        </w:tblPrEx>
        <w:trPr>
          <w:trHeight w:val="280" w:hRule="atLeast"/>
        </w:trPr>
        <w:tc>
          <w:tcPr>
            <w:tcW w:w="10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1629"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309"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软件优化升级</w:t>
            </w:r>
          </w:p>
        </w:tc>
      </w:tr>
      <w:tr>
        <w:tblPrEx>
          <w:tblCellMar>
            <w:top w:w="0" w:type="dxa"/>
            <w:left w:w="108" w:type="dxa"/>
            <w:bottom w:w="0" w:type="dxa"/>
            <w:right w:w="108" w:type="dxa"/>
          </w:tblCellMar>
        </w:tblPrEx>
        <w:trPr>
          <w:trHeight w:val="280" w:hRule="atLeast"/>
        </w:trPr>
        <w:tc>
          <w:tcPr>
            <w:tcW w:w="10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1629"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309"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现场工作服务</w:t>
            </w:r>
          </w:p>
        </w:tc>
      </w:tr>
      <w:tr>
        <w:tblPrEx>
          <w:tblCellMar>
            <w:top w:w="0" w:type="dxa"/>
            <w:left w:w="108" w:type="dxa"/>
            <w:bottom w:w="0" w:type="dxa"/>
            <w:right w:w="108" w:type="dxa"/>
          </w:tblCellMar>
        </w:tblPrEx>
        <w:trPr>
          <w:trHeight w:val="280" w:hRule="atLeast"/>
        </w:trPr>
        <w:tc>
          <w:tcPr>
            <w:tcW w:w="10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1629"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309"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故障排查响应</w:t>
            </w:r>
          </w:p>
        </w:tc>
      </w:tr>
    </w:tbl>
    <w:p>
      <w:pPr>
        <w:numPr>
          <w:ilvl w:val="0"/>
          <w:numId w:val="0"/>
        </w:numPr>
        <w:jc w:val="both"/>
        <w:rPr>
          <w:rFonts w:hint="eastAsia"/>
          <w:color w:val="auto"/>
          <w:sz w:val="24"/>
          <w:szCs w:val="24"/>
          <w:lang w:val="en-US" w:eastAsia="zh-CN"/>
        </w:rPr>
      </w:pPr>
    </w:p>
    <w:p>
      <w:pPr>
        <w:numPr>
          <w:ilvl w:val="0"/>
          <w:numId w:val="4"/>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维护系统清单</w:t>
      </w:r>
    </w:p>
    <w:tbl>
      <w:tblPr>
        <w:tblStyle w:val="31"/>
        <w:tblW w:w="4998" w:type="pct"/>
        <w:tblInd w:w="0" w:type="dxa"/>
        <w:tblLayout w:type="autofit"/>
        <w:tblCellMar>
          <w:top w:w="0" w:type="dxa"/>
          <w:left w:w="108" w:type="dxa"/>
          <w:bottom w:w="0" w:type="dxa"/>
          <w:right w:w="108" w:type="dxa"/>
        </w:tblCellMar>
      </w:tblPr>
      <w:tblGrid>
        <w:gridCol w:w="2935"/>
        <w:gridCol w:w="2381"/>
        <w:gridCol w:w="4241"/>
      </w:tblGrid>
      <w:tr>
        <w:tblPrEx>
          <w:tblCellMar>
            <w:top w:w="0" w:type="dxa"/>
            <w:left w:w="108" w:type="dxa"/>
            <w:bottom w:w="0" w:type="dxa"/>
            <w:right w:w="108" w:type="dxa"/>
          </w:tblCellMar>
        </w:tblPrEx>
        <w:trPr>
          <w:trHeight w:val="280" w:hRule="atLeast"/>
        </w:trPr>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产品</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大类</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分系统</w:t>
            </w:r>
          </w:p>
        </w:tc>
      </w:tr>
      <w:tr>
        <w:tblPrEx>
          <w:tblCellMar>
            <w:top w:w="0" w:type="dxa"/>
            <w:left w:w="108" w:type="dxa"/>
            <w:bottom w:w="0" w:type="dxa"/>
            <w:right w:w="108" w:type="dxa"/>
          </w:tblCellMar>
        </w:tblPrEx>
        <w:trPr>
          <w:trHeight w:val="280" w:hRule="atLeast"/>
        </w:trPr>
        <w:tc>
          <w:tcPr>
            <w:tcW w:w="1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病案示踪系统</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患者病案复印管理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打印列表管理</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申请打印</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信息录入和验证</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支付管理系统</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快递和补款/退款系统</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病案示踪系统</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病案签出/</w:t>
            </w:r>
            <w:r>
              <w:rPr>
                <w:rFonts w:hint="eastAsia" w:ascii="宋体" w:hAnsi="宋体" w:eastAsia="宋体" w:cs="宋体"/>
                <w:color w:val="000000"/>
                <w:kern w:val="0"/>
                <w:sz w:val="20"/>
                <w:szCs w:val="20"/>
                <w:lang w:val="en-US" w:eastAsia="zh-CN" w:bidi="ar"/>
              </w:rPr>
              <w:t>接</w:t>
            </w:r>
            <w:r>
              <w:rPr>
                <w:rFonts w:hint="eastAsia" w:ascii="宋体" w:hAnsi="宋体" w:eastAsia="宋体" w:cs="宋体"/>
                <w:color w:val="000000"/>
                <w:kern w:val="0"/>
                <w:sz w:val="20"/>
                <w:szCs w:val="20"/>
                <w:lang w:bidi="ar"/>
              </w:rPr>
              <w:t>收管理</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病案缺项反馈系统</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病案缺项质控</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病案上架数据</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病案装箱数据</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病案借阅申请</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病案借阅</w:t>
            </w:r>
            <w:r>
              <w:rPr>
                <w:rFonts w:hint="eastAsia" w:ascii="宋体" w:hAnsi="宋体" w:cs="宋体"/>
                <w:color w:val="000000"/>
                <w:sz w:val="20"/>
                <w:szCs w:val="20"/>
                <w:lang w:val="en-US" w:eastAsia="zh-CN"/>
              </w:rPr>
              <w:t>管理</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病案归还</w:t>
            </w:r>
            <w:r>
              <w:rPr>
                <w:rFonts w:hint="eastAsia" w:ascii="宋体" w:hAnsi="宋体" w:cs="宋体"/>
                <w:color w:val="000000"/>
                <w:sz w:val="20"/>
                <w:szCs w:val="20"/>
                <w:lang w:val="en-US" w:eastAsia="zh-CN"/>
              </w:rPr>
              <w:t>签名</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病案综合查询</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病案统计管理</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病案系统设置</w:t>
            </w:r>
          </w:p>
        </w:tc>
      </w:tr>
      <w:tr>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病案翻拍系统</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病案扫描和上传</w:t>
            </w:r>
          </w:p>
        </w:tc>
      </w:tr>
      <w:tr>
        <w:tblPrEx>
          <w:tblCellMar>
            <w:top w:w="0" w:type="dxa"/>
            <w:left w:w="108" w:type="dxa"/>
            <w:bottom w:w="0" w:type="dxa"/>
            <w:right w:w="108" w:type="dxa"/>
          </w:tblCellMar>
        </w:tblPrEx>
        <w:trPr>
          <w:trHeight w:val="280" w:hRule="atLeast"/>
        </w:trPr>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20"/>
                <w:szCs w:val="20"/>
              </w:rPr>
            </w:pP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病案分类挂接</w:t>
            </w:r>
          </w:p>
        </w:tc>
      </w:tr>
    </w:tbl>
    <w:p>
      <w:pPr>
        <w:pStyle w:val="2"/>
        <w:spacing w:line="360" w:lineRule="auto"/>
        <w:rPr>
          <w:color w:val="auto"/>
          <w:sz w:val="24"/>
          <w:szCs w:val="24"/>
        </w:rPr>
      </w:pPr>
      <w:r>
        <w:rPr>
          <w:rFonts w:hint="eastAsia"/>
          <w:color w:val="auto"/>
          <w:sz w:val="24"/>
          <w:szCs w:val="24"/>
          <w:lang w:val="en-US" w:eastAsia="zh-CN"/>
        </w:rPr>
        <w:t>五、</w:t>
      </w:r>
      <w:r>
        <w:rPr>
          <w:rFonts w:hint="eastAsia"/>
          <w:color w:val="auto"/>
          <w:sz w:val="24"/>
          <w:szCs w:val="24"/>
        </w:rPr>
        <w:t>验收标准</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本项目要求在合同签订之后三个月内接手现有示踪系统，进入试运行，确保系统稳定运行。</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试运行结束，进入正式运行阶段，需要调研系统扩展需求，并做出详细需求分析以及二次开发准备。</w:t>
      </w:r>
    </w:p>
    <w:p>
      <w:pPr>
        <w:pStyle w:val="2"/>
        <w:spacing w:line="360" w:lineRule="auto"/>
        <w:rPr>
          <w:color w:val="auto"/>
          <w:sz w:val="24"/>
          <w:szCs w:val="24"/>
        </w:rPr>
      </w:pPr>
      <w:r>
        <w:rPr>
          <w:rFonts w:hint="eastAsia"/>
          <w:color w:val="auto"/>
          <w:sz w:val="24"/>
          <w:szCs w:val="24"/>
          <w:lang w:val="en-US" w:eastAsia="zh-CN"/>
        </w:rPr>
        <w:t>六、</w:t>
      </w:r>
      <w:r>
        <w:rPr>
          <w:rFonts w:hint="eastAsia"/>
          <w:color w:val="auto"/>
          <w:sz w:val="24"/>
          <w:szCs w:val="24"/>
        </w:rPr>
        <w:t>售后服务要求</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1、项目验收后提供合同期内质保服务。</w:t>
      </w:r>
    </w:p>
    <w:p>
      <w:pPr>
        <w:numPr>
          <w:ilvl w:val="0"/>
          <w:numId w:val="5"/>
        </w:num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提供工作日电话咨询和技术支持服务，7*24h提供系统故障应答服务，系统出现故障须半小时内</w:t>
      </w: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，2小时内解决故障问题并分析故障原因，提出防范措施。</w:t>
      </w:r>
    </w:p>
    <w:p>
      <w:pPr>
        <w:numPr>
          <w:ilvl w:val="0"/>
          <w:numId w:val="5"/>
        </w:num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乙方技术</w:t>
      </w:r>
      <w:r>
        <w:rPr>
          <w:rFonts w:hint="eastAsia" w:ascii="宋体" w:hAnsi="宋体" w:eastAsia="宋体" w:cs="宋体"/>
          <w:b w:val="0"/>
          <w:bCs/>
          <w:color w:val="auto"/>
          <w:sz w:val="24"/>
          <w:szCs w:val="24"/>
          <w:lang w:val="en-US" w:eastAsia="zh-CN"/>
        </w:rPr>
        <w:t>支持</w:t>
      </w:r>
      <w:r>
        <w:rPr>
          <w:rFonts w:hint="eastAsia" w:ascii="宋体" w:hAnsi="宋体" w:eastAsia="宋体" w:cs="宋体"/>
          <w:b w:val="0"/>
          <w:bCs/>
          <w:color w:val="auto"/>
          <w:sz w:val="24"/>
          <w:szCs w:val="24"/>
        </w:rPr>
        <w:t>服务</w:t>
      </w:r>
      <w:r>
        <w:rPr>
          <w:rFonts w:hint="eastAsia" w:ascii="宋体" w:hAnsi="宋体" w:eastAsia="宋体" w:cs="宋体"/>
          <w:b w:val="0"/>
          <w:bCs/>
          <w:color w:val="auto"/>
          <w:sz w:val="24"/>
          <w:szCs w:val="24"/>
          <w:lang w:val="en-US" w:eastAsia="zh-CN"/>
        </w:rPr>
        <w:t>根据情况，提供</w:t>
      </w:r>
      <w:r>
        <w:rPr>
          <w:rFonts w:hint="eastAsia" w:ascii="宋体" w:hAnsi="宋体" w:eastAsia="宋体" w:cs="宋体"/>
          <w:b w:val="0"/>
          <w:bCs/>
          <w:color w:val="auto"/>
          <w:sz w:val="24"/>
          <w:szCs w:val="24"/>
        </w:rPr>
        <w:t>电话、</w:t>
      </w:r>
      <w:r>
        <w:rPr>
          <w:rFonts w:hint="eastAsia" w:ascii="宋体" w:hAnsi="宋体" w:eastAsia="宋体" w:cs="宋体"/>
          <w:b w:val="0"/>
          <w:bCs/>
          <w:color w:val="auto"/>
          <w:sz w:val="24"/>
          <w:szCs w:val="24"/>
          <w:lang w:val="en-US" w:eastAsia="zh-CN"/>
        </w:rPr>
        <w:t>现场</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远程</w:t>
      </w:r>
      <w:r>
        <w:rPr>
          <w:rFonts w:hint="eastAsia" w:ascii="宋体" w:hAnsi="宋体" w:eastAsia="宋体" w:cs="宋体"/>
          <w:b w:val="0"/>
          <w:bCs/>
          <w:color w:val="auto"/>
          <w:sz w:val="24"/>
          <w:szCs w:val="24"/>
        </w:rPr>
        <w:t>等多</w:t>
      </w:r>
      <w:r>
        <w:rPr>
          <w:rFonts w:hint="eastAsia" w:ascii="宋体" w:hAnsi="宋体" w:eastAsia="宋体" w:cs="宋体"/>
          <w:b w:val="0"/>
          <w:bCs/>
          <w:color w:val="auto"/>
          <w:sz w:val="24"/>
          <w:szCs w:val="24"/>
          <w:lang w:val="en-US" w:eastAsia="zh-CN"/>
        </w:rPr>
        <w:t>方式</w:t>
      </w:r>
      <w:r>
        <w:rPr>
          <w:rFonts w:hint="eastAsia" w:ascii="宋体" w:hAnsi="宋体" w:eastAsia="宋体" w:cs="宋体"/>
          <w:b w:val="0"/>
          <w:bCs/>
          <w:color w:val="auto"/>
          <w:sz w:val="24"/>
          <w:szCs w:val="24"/>
        </w:rPr>
        <w:t>，为用户提供技术服务，解答用户在系统使用、维护过程中遇到的各种问题，及时答复解决问题</w:t>
      </w:r>
      <w:r>
        <w:rPr>
          <w:rFonts w:hint="eastAsia" w:ascii="宋体" w:hAnsi="宋体" w:eastAsia="宋体" w:cs="宋体"/>
          <w:b w:val="0"/>
          <w:bCs/>
          <w:color w:val="auto"/>
          <w:sz w:val="24"/>
          <w:szCs w:val="24"/>
          <w:lang w:val="en-US" w:eastAsia="zh-CN"/>
        </w:rPr>
        <w:t>和</w:t>
      </w:r>
      <w:r>
        <w:rPr>
          <w:rFonts w:hint="eastAsia" w:ascii="宋体" w:hAnsi="宋体" w:eastAsia="宋体" w:cs="宋体"/>
          <w:b w:val="0"/>
          <w:bCs/>
          <w:color w:val="auto"/>
          <w:sz w:val="24"/>
          <w:szCs w:val="24"/>
        </w:rPr>
        <w:t>建议正确的操作方法</w:t>
      </w:r>
      <w:r>
        <w:rPr>
          <w:rFonts w:hint="eastAsia" w:ascii="宋体" w:hAnsi="宋体" w:eastAsia="宋体" w:cs="宋体"/>
          <w:b w:val="0"/>
          <w:bCs/>
          <w:color w:val="auto"/>
          <w:sz w:val="24"/>
          <w:szCs w:val="24"/>
          <w:lang w:eastAsia="zh-CN"/>
        </w:rPr>
        <w:t>。</w:t>
      </w:r>
    </w:p>
    <w:p>
      <w:pPr>
        <w:numPr>
          <w:ilvl w:val="0"/>
          <w:numId w:val="5"/>
        </w:numPr>
        <w:spacing w:line="360" w:lineRule="auto"/>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合作期内免费配合甲方做系统改造和升级。</w:t>
      </w: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宋体" w:hAnsi="宋体" w:eastAsia="宋体" w:cs="Times New Roman"/>
          <w:b/>
          <w:sz w:val="40"/>
          <w:szCs w:val="40"/>
          <w:highlight w:val="none"/>
          <w:lang w:val="en-US" w:eastAsia="zh-CN"/>
        </w:rPr>
        <w:t>嘉定院区病案示踪系统运维保障</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458971242"/>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69531691"/>
      <w:bookmarkStart w:id="19" w:name="_Toc7039"/>
      <w:bookmarkStart w:id="20" w:name="_Toc352691655"/>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6931"/>
      <w:bookmarkStart w:id="22" w:name="_Toc352691656"/>
      <w:bookmarkStart w:id="23" w:name="_Toc369531692"/>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嘉定院区病案示踪系统运维保障</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52691658"/>
      <w:bookmarkStart w:id="25" w:name="_Toc369531694"/>
      <w:bookmarkStart w:id="26" w:name="_Toc1187"/>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52691659"/>
      <w:bookmarkStart w:id="29" w:name="_Toc369531695"/>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52691660"/>
      <w:bookmarkStart w:id="32" w:name="_Toc369531696"/>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52042576"/>
      <w:bookmarkStart w:id="34" w:name="_Toc384308375"/>
      <w:bookmarkStart w:id="35" w:name="_Toc361508752"/>
      <w:bookmarkStart w:id="36" w:name="_Toc152045787"/>
      <w:bookmarkStart w:id="37" w:name="_Toc352691661"/>
      <w:bookmarkStart w:id="38" w:name="_Toc144974856"/>
      <w:bookmarkStart w:id="39" w:name="_Toc369531697"/>
      <w:bookmarkStart w:id="40" w:name="_Toc17960"/>
      <w:bookmarkStart w:id="41" w:name="_Toc247514246"/>
      <w:bookmarkStart w:id="42" w:name="_Toc247527827"/>
      <w:bookmarkStart w:id="43" w:name="_Toc300835209"/>
      <w:r>
        <w:rPr>
          <w:rFonts w:hint="eastAsia" w:ascii="宋体" w:hAnsi="宋体" w:eastAsia="宋体" w:cs="Times New Roman"/>
          <w:b/>
          <w:sz w:val="24"/>
          <w:szCs w:val="24"/>
          <w:highlight w:val="none"/>
        </w:rPr>
        <w:br w:type="page"/>
      </w:r>
      <w:bookmarkStart w:id="44" w:name="_Toc392227908"/>
      <w:bookmarkStart w:id="45" w:name="_Toc457748054"/>
      <w:bookmarkStart w:id="46" w:name="_Toc458971245"/>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_Toc458971246"/>
      <w:bookmarkStart w:id="49" w:name="OLE_LINK1"/>
      <w:bookmarkStart w:id="50" w:name="OLE_LINK2"/>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嘉定院区病案示踪系统运维保障</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嘉定院区病案示踪系统运维保障</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8971250"/>
      <w:bookmarkStart w:id="53" w:name="_Toc457748057"/>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7748058"/>
      <w:bookmarkStart w:id="55" w:name="_Toc392227915"/>
      <w:bookmarkStart w:id="56" w:name="_Toc458971251"/>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6"/>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6"/>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6"/>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90CC1"/>
    <w:multiLevelType w:val="singleLevel"/>
    <w:tmpl w:val="F9990CC1"/>
    <w:lvl w:ilvl="0" w:tentative="0">
      <w:start w:val="2"/>
      <w:numFmt w:val="decimal"/>
      <w:suff w:val="nothing"/>
      <w:lvlText w:val="%1、"/>
      <w:lvlJc w:val="left"/>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5">
    <w:nsid w:val="100B1D47"/>
    <w:multiLevelType w:val="singleLevel"/>
    <w:tmpl w:val="100B1D47"/>
    <w:lvl w:ilvl="0" w:tentative="0">
      <w:start w:val="3"/>
      <w:numFmt w:val="chineseCounting"/>
      <w:suff w:val="nothing"/>
      <w:lvlText w:val="%1、"/>
      <w:lvlJc w:val="left"/>
      <w:rPr>
        <w:rFonts w:hint="eastAsia"/>
      </w:rPr>
    </w:lvl>
  </w:abstractNum>
  <w:abstractNum w:abstractNumId="6">
    <w:nsid w:val="4B76B372"/>
    <w:multiLevelType w:val="singleLevel"/>
    <w:tmpl w:val="4B76B372"/>
    <w:lvl w:ilvl="0" w:tentative="0">
      <w:start w:val="3"/>
      <w:numFmt w:val="chineseCounting"/>
      <w:suff w:val="space"/>
      <w:lvlText w:val="第%1章"/>
      <w:lvlJc w:val="left"/>
      <w:rPr>
        <w:rFonts w:hint="eastAsia"/>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18B96178"/>
    <w:rsid w:val="1A6D22BD"/>
    <w:rsid w:val="26DE6D5B"/>
    <w:rsid w:val="28787F75"/>
    <w:rsid w:val="2ADF50F8"/>
    <w:rsid w:val="3AD547B2"/>
    <w:rsid w:val="3D5501C4"/>
    <w:rsid w:val="5C6240FA"/>
    <w:rsid w:val="5DE8171B"/>
    <w:rsid w:val="645F409A"/>
    <w:rsid w:val="66F931CB"/>
    <w:rsid w:val="6F0108ED"/>
    <w:rsid w:val="6F0A1AA0"/>
    <w:rsid w:val="74E65469"/>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5631</Words>
  <Characters>6151</Characters>
  <Lines>53</Lines>
  <Paragraphs>15</Paragraphs>
  <TotalTime>3</TotalTime>
  <ScaleCrop>false</ScaleCrop>
  <LinksUpToDate>false</LinksUpToDate>
  <CharactersWithSpaces>7260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2025-05-14T07:42:42Z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