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高敏PNH全套检查试剂等</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yellow"/>
          <w:lang w:val="en-US" w:eastAsia="zh-CN"/>
        </w:rPr>
        <w:t>2</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10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包件一：高敏PNH全套检查等试剂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包件二：白血病免疫分型流式检测等试剂</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包件三：中性粒细胞明胶酶相关脂质运载蛋白测定试剂盒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包件四：白介素-1β测定试剂盒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包件五：白介素2受体测定试剂盒</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包件六：α肿瘤坏死因子测定试剂盒</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w:t>
      </w:r>
      <w:r>
        <w:rPr>
          <w:rFonts w:hint="eastAsia" w:ascii="宋体" w:hAnsi="宋体" w:eastAsia="宋体" w:cs="Times New Roman"/>
          <w:sz w:val="24"/>
          <w:szCs w:val="24"/>
        </w:rPr>
        <w:t>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高敏PNH全套检查等试剂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高敏PNH全套检查等试剂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高敏PNH全套检查等试剂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rPr>
        <w:t>试剂用途</w:t>
      </w:r>
      <w:r>
        <w:rPr>
          <w:rFonts w:hint="eastAsia" w:ascii="宋体" w:hAnsi="宋体" w:eastAsia="宋体" w:cs="宋体"/>
          <w:color w:val="000000"/>
          <w:kern w:val="0"/>
          <w:sz w:val="24"/>
          <w:szCs w:val="24"/>
          <w:highlight w:val="none"/>
          <w:lang w:eastAsia="zh-CN"/>
        </w:rPr>
        <w:t>：</w:t>
      </w:r>
      <w:r>
        <w:rPr>
          <w:rFonts w:hint="eastAsia" w:ascii="宋体" w:hAnsi="宋体" w:eastAsia="宋体" w:cs="宋体"/>
          <w:sz w:val="24"/>
          <w:szCs w:val="24"/>
          <w:highlight w:val="none"/>
        </w:rPr>
        <w:t>对于再生障碍性贫血及MDS的诊断和治疗具有重要意义。</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w:t>
      </w:r>
      <w:r>
        <w:rPr>
          <w:rFonts w:hint="eastAsia" w:hAnsi="宋体" w:cs="宋体"/>
          <w:b w:val="0"/>
          <w:bCs w:val="0"/>
          <w:sz w:val="24"/>
          <w:szCs w:val="24"/>
          <w:highlight w:val="none"/>
          <w:lang w:val="en-US" w:eastAsia="zh-CN"/>
        </w:rPr>
        <w:t>样本</w:t>
      </w:r>
      <w:r>
        <w:rPr>
          <w:rStyle w:val="216"/>
          <w:rFonts w:hint="eastAsia" w:ascii="宋体" w:hAnsi="宋体" w:eastAsia="宋体" w:cs="宋体"/>
          <w:sz w:val="24"/>
          <w:szCs w:val="24"/>
          <w:highlight w:val="none"/>
          <w:lang w:val="en-US" w:eastAsia="zh-CN"/>
        </w:rPr>
        <w:t>：需包含白细胞分化抗原CD19检测试剂盒(APC)</w:t>
      </w:r>
      <w:r>
        <w:rPr>
          <w:rStyle w:val="216"/>
          <w:rFonts w:hint="eastAsia" w:hAnsi="宋体" w:cs="宋体"/>
          <w:sz w:val="24"/>
          <w:szCs w:val="24"/>
          <w:highlight w:val="none"/>
          <w:lang w:val="en-US" w:eastAsia="zh-CN"/>
        </w:rPr>
        <w:t>、</w:t>
      </w:r>
      <w:r>
        <w:rPr>
          <w:rFonts w:hint="eastAsia" w:hAnsi="宋体" w:cs="宋体"/>
          <w:sz w:val="24"/>
          <w:szCs w:val="24"/>
          <w:highlight w:val="none"/>
          <w:lang w:val="en-US" w:eastAsia="zh-CN"/>
        </w:rPr>
        <w:t xml:space="preserve"> CD15检测试剂(CD15-PE-Cyanine7)、CD59检测试剂(CD59-PE)、髓过氧化物酶(MPO)检测试剂(MPO-PerCP-Cyanine5.5)、同型对照抗体（IgM）</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储存条件及有效期：有效期12- 18 个月，2-8℃避光储存，切忌冷冻；</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线性： 7×102/μL 至 1.1×104/μLL 细胞浓度范围内； </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精密度：日间、批间变异系数</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2%。</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染色稳定性：相对偏差值</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10%。</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白血病免疫分型流式检测等试剂</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对白血病的诊断、分型、治疗方案选择及预后判断、发病机理研究等有重要意义。</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b w:val="0"/>
          <w:bCs w:val="0"/>
          <w:sz w:val="24"/>
          <w:szCs w:val="24"/>
        </w:rPr>
        <w:t>★</w:t>
      </w:r>
      <w:r>
        <w:rPr>
          <w:rStyle w:val="216"/>
          <w:rFonts w:hint="eastAsia" w:hAnsi="宋体" w:cs="宋体"/>
          <w:sz w:val="24"/>
          <w:szCs w:val="24"/>
          <w:lang w:val="en-US" w:eastAsia="zh-CN"/>
        </w:rPr>
        <w:t>样本</w:t>
      </w:r>
      <w:r>
        <w:rPr>
          <w:rStyle w:val="216"/>
          <w:rFonts w:hint="eastAsia" w:ascii="宋体" w:hAnsi="宋体" w:eastAsia="宋体" w:cs="宋体"/>
          <w:sz w:val="24"/>
          <w:szCs w:val="24"/>
          <w:lang w:val="en-US" w:eastAsia="zh-CN"/>
        </w:rPr>
        <w:t>：需</w:t>
      </w:r>
      <w:r>
        <w:rPr>
          <w:rFonts w:hint="eastAsia" w:ascii="宋体" w:hAnsi="宋体" w:eastAsia="宋体" w:cs="宋体"/>
          <w:kern w:val="2"/>
          <w:sz w:val="24"/>
          <w:szCs w:val="24"/>
          <w:lang w:val="en-US" w:eastAsia="zh-CN" w:bidi="ar-SA"/>
        </w:rPr>
        <w:t>包含CD123检测试剂</w:t>
      </w:r>
      <w:r>
        <w:rPr>
          <w:rFonts w:hint="eastAsia" w:hAnsi="宋体" w:cs="宋体"/>
          <w:kern w:val="2"/>
          <w:sz w:val="24"/>
          <w:szCs w:val="24"/>
          <w:lang w:val="en-US" w:eastAsia="zh-CN" w:bidi="ar-SA"/>
        </w:rPr>
        <w:t>、CD33检测试剂（CD33-PC5.5）、CD3-FITC/CD16+56-PE/CD45-PerCP-Cy5.5/CD4-PC7/CD19-APC/CD8-APC-Cy7荧光单克隆抗体试剂盒、CD45检测试剂（CD45-QB500)、绝对计数管、鞘液、CD103检测试剂(CD103-APC)、CD36检测试剂(CD36-FITC)、CD79a检测试剂(CD79a-PE)、CD99抗体试剂(CD99-PE)、CD123检测试剂(CD123-PE)、CD10检测试剂(CD10-APC-iFluor700)、CD10检测试剂(CD10-PE-Cyanine7)、CD117检测试剂(CD117-APC-Cyanine7)、CD117检测试剂(CD117-PE)、CD117检测试剂(CD117-PE-Cyanine7)、CD117检测试剂(CD117-PerCP-Cyanine5.5)、CD11b检测试剂、CD11b检测试剂(CD11b-APC-Cyanine7)、CD11b检测试剂(CD11b-FITC)、CD11b检测试剂(CD11b-mFluor450)、CD11b检测试剂(CD11b-PE)、CD11c检测试剂、CD13检测试剂(CD13-PE-CF594)、CD13检测试剂(CD13-PerCP-Cy5.5)、CD14检测试剂(CD14-APC-Cy7)、CD15 检测试剂、CD15检测试剂(CD15-FITC)、CD15检测试剂(CD15-mFluor450)、CD16 检测试剂(CD16-APC)、CD16检测试剂(CD16-FITC)、CD16检测试剂(CD16-mFluor450)、CD16检测试剂(CD16-PE)、CD1a检测试剂(CD1a-FITC)、CD23检测试剂(CD23-APC)、CD23检测试剂(CD23-PE-Cyanine7)、CD25检测试剂、CD25检测试剂(CD25-APC-iFluor700)、CD27 检测试剂(APC-iFluor700)、CD27检测试剂(CD27-PE-Cy7)、CD2检测试剂(CD2-FITC)、CD2检测试剂(CD2-mFluor450)、CD3 检测试剂(CD3-FITC)、CD33 检测试剂、CD33检测试剂(CD33-APC)、CD33检测试剂(CD33-APC-Cy7)、CD33检测试剂(CD33-PE)、CD33检测试剂(CD33-PerCP-Cy5.5)、CD38 检测试剂、CD38检测试剂(CD38-FITC)、CD38检测试剂(CD38-mFluor450)、CD38检测试剂(CD38-PE-CF594)、CD3检测试剂(CD3-mFluor450)、CD3检测试剂(CD3-PE-CF594)、CD45RA 检测试剂(CD45RA-FITC)、CD45RA检测试剂(CD45RA-PE-CF594)、CD45RO 检测试剂、CD45RO检测试剂(CD45RO-PE)、CD45检测试剂(CD45-mFluor540)、CD4检测试剂、CD4检测试剂(CD4-APC)、CD4检测试剂(CD4-APC-Cyanine7)、CD4检测试剂(CD4-PerCP-Cyanine5.5)、CD5 检测试剂、CD56 检测试剂(CD56-FITC)、CD56检测试剂(CD56-APC)、CD56检测试剂(CD56-FITC)、CD56检测试剂(CD56-iFluor488)、CD56检测试剂(CD56-PE-CF594)、CD56检测试剂(CD56-PE-Cyanine7)、CD57检测试剂、CD57检测试剂(CD57-mFluor450)、CD58检测试剂（iFluor488）、CD5检测试剂(CD5-APC)、CD5检测试剂(CD5-mFluor450)、CD5检测试剂(CD5-PerCP-Cy5.5)、CD64 抗体试剂、CD64抗体试剂(CD64-FITC)、CD71检测试剂(CD71-APC-Cyanine7)、CD7检测试剂(CD7-APC-iFluor700)、CD7检测试剂(CD7-PE-Cy7)、CD8 检测试剂、CD8检测试剂(CD8-APC-iFluor700)、HLA-DR检测试剂(HLA--APC-Cy7)、HLA-DR检测试剂(HLA--mFluor450)、HLA-DR检测试剂(HLA--PE-CF594)、HLA-DR检测试剂(HLA--PE-Cy7)、溶血素、同型对照抗体（IgG1）(IgG1-PE)</w:t>
      </w:r>
      <w:r>
        <w:rPr>
          <w:rFonts w:hint="eastAsia" w:ascii="宋体" w:hAnsi="宋体" w:eastAsia="宋体" w:cs="宋体"/>
          <w:kern w:val="2"/>
          <w:sz w:val="24"/>
          <w:szCs w:val="24"/>
          <w:lang w:val="en-US" w:eastAsia="zh-CN" w:bidi="ar-SA"/>
        </w:rPr>
        <w:t>。</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储存条件及有效期：有效期12- 18 个月，2-8℃避光储存，切忌冷冻；</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线性： 7×102/μL 至 1.1×104/μLL 细胞浓度范围内；</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精密度：日间、批间变异系数</w:t>
      </w:r>
      <w:r>
        <w:rPr>
          <w:rFonts w:hint="eastAsia" w:hAnsi="宋体" w:cs="宋体"/>
          <w:sz w:val="24"/>
          <w:szCs w:val="24"/>
          <w:lang w:val="en-US" w:eastAsia="zh-CN"/>
        </w:rPr>
        <w:t>＜</w:t>
      </w:r>
      <w:r>
        <w:rPr>
          <w:rFonts w:hint="eastAsia" w:ascii="宋体" w:hAnsi="宋体" w:eastAsia="宋体" w:cs="宋体"/>
          <w:sz w:val="24"/>
          <w:szCs w:val="24"/>
          <w:lang w:val="en-US" w:eastAsia="zh-CN"/>
        </w:rPr>
        <w:t>2%。</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染色稳定性：相对偏差值</w:t>
      </w:r>
      <w:r>
        <w:rPr>
          <w:rFonts w:hint="eastAsia" w:hAnsi="宋体" w:cs="宋体"/>
          <w:sz w:val="24"/>
          <w:szCs w:val="24"/>
          <w:lang w:val="en-US" w:eastAsia="zh-CN"/>
        </w:rPr>
        <w:t>＜</w:t>
      </w:r>
      <w:r>
        <w:rPr>
          <w:rFonts w:hint="eastAsia" w:ascii="宋体" w:hAnsi="宋体" w:eastAsia="宋体" w:cs="宋体"/>
          <w:sz w:val="24"/>
          <w:szCs w:val="24"/>
          <w:lang w:val="en-US" w:eastAsia="zh-CN"/>
        </w:rPr>
        <w:t xml:space="preserve"> 10%。</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：中性粒细胞明胶酶相关脂质运载蛋白测定试剂盒</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试剂用途：用于体外定量测定人血浆或尿液中中性粒细胞明胶酶相关脂质运载蛋白的含量。</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★样本类型：血浆或尿液。</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适用机型：适用各类全自动生化分析仪。</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准确度：准确度相对偏差应不超过±15%。</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精密度：CV≤10%。</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线性范围：相对偏差应不超过±10%。</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分析灵敏度：样本浓度为600ng/ml时，其吸光度变化在0.0020～0.2000之间。</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参考区间：血浆:20-200ng/mL；尿液:0.1-150ng/mL。</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配送方式：冷链运输（2-8℃储存），提供符合国家IVD储运。</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有效期：≥12个月。</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default" w:ascii="宋体" w:hAnsi="宋体" w:eastAsia="宋体" w:cs="Times New Roman"/>
          <w:b/>
          <w:sz w:val="28"/>
          <w:szCs w:val="20"/>
          <w:lang w:val="en-US" w:eastAsia="zh-CN"/>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包件四：</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：白介素-1β测定试剂盒</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0"/>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试剂用途：用于检测血清或肝素化血浆中白介素1受体的含量。</w:t>
      </w:r>
    </w:p>
    <w:p>
      <w:pPr>
        <w:pStyle w:val="18"/>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样本类型：血</w:t>
      </w:r>
      <w:r>
        <w:rPr>
          <w:rFonts w:hint="eastAsia" w:hAnsi="宋体" w:cs="宋体"/>
          <w:sz w:val="24"/>
          <w:szCs w:val="24"/>
          <w:lang w:val="en-US" w:eastAsia="zh-CN"/>
        </w:rPr>
        <w:t>清</w:t>
      </w:r>
      <w:r>
        <w:rPr>
          <w:rFonts w:hint="eastAsia" w:ascii="宋体" w:hAnsi="宋体" w:eastAsia="宋体" w:cs="宋体"/>
          <w:sz w:val="24"/>
          <w:szCs w:val="24"/>
          <w:lang w:val="en-US" w:eastAsia="zh-CN"/>
        </w:rPr>
        <w:t>。</w:t>
      </w:r>
    </w:p>
    <w:p>
      <w:pPr>
        <w:pStyle w:val="18"/>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适用机型：适用各类全自动生化分析仪。</w:t>
      </w:r>
    </w:p>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有效期：≥12个月。</w:t>
      </w:r>
    </w:p>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：白介素2受体测定试剂盒</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2"/>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试剂用途：用于检测血清或肝素化血浆中白介素</w:t>
      </w:r>
      <w:r>
        <w:rPr>
          <w:rFonts w:hint="eastAsia" w:hAnsi="宋体" w:cs="宋体"/>
          <w:sz w:val="24"/>
          <w:szCs w:val="24"/>
          <w:lang w:val="en-US" w:eastAsia="zh-CN"/>
        </w:rPr>
        <w:t>2</w:t>
      </w:r>
      <w:r>
        <w:rPr>
          <w:rFonts w:hint="eastAsia" w:ascii="宋体" w:hAnsi="宋体" w:eastAsia="宋体" w:cs="宋体"/>
          <w:sz w:val="24"/>
          <w:szCs w:val="24"/>
          <w:lang w:val="en-US" w:eastAsia="zh-CN"/>
        </w:rPr>
        <w:t>受体的含量。</w:t>
      </w:r>
    </w:p>
    <w:p>
      <w:pPr>
        <w:pStyle w:val="18"/>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样本类型：血</w:t>
      </w:r>
      <w:r>
        <w:rPr>
          <w:rFonts w:hint="eastAsia" w:hAnsi="宋体" w:cs="宋体"/>
          <w:sz w:val="24"/>
          <w:szCs w:val="24"/>
          <w:lang w:val="en-US" w:eastAsia="zh-CN"/>
        </w:rPr>
        <w:t>清</w:t>
      </w:r>
      <w:r>
        <w:rPr>
          <w:rFonts w:hint="eastAsia" w:ascii="宋体" w:hAnsi="宋体" w:eastAsia="宋体" w:cs="宋体"/>
          <w:sz w:val="24"/>
          <w:szCs w:val="24"/>
          <w:lang w:val="en-US" w:eastAsia="zh-CN"/>
        </w:rPr>
        <w:t>。</w:t>
      </w:r>
    </w:p>
    <w:p>
      <w:pPr>
        <w:pStyle w:val="18"/>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适用机型：适用各类全自动生化分析仪。</w:t>
      </w:r>
    </w:p>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有效期：≥12个月。</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lang w:val="en-US" w:eastAsia="zh-CN"/>
        </w:rPr>
        <w:t>5.</w:t>
      </w:r>
      <w:r>
        <w:rPr>
          <w:rFonts w:hint="eastAsia" w:ascii="宋体" w:hAnsi="宋体" w:eastAsia="宋体" w:cs="宋体"/>
          <w:sz w:val="24"/>
          <w:szCs w:val="24"/>
          <w:lang w:val="en-US" w:eastAsia="zh-CN"/>
        </w:rPr>
        <w:t>★投标人需响应医院SPD项目相关要求,并与上药医疗供应链管理(上海)有限公司签署相关SPD协议。</w:t>
      </w:r>
      <w:bookmarkStart w:id="18" w:name="_GoBack"/>
      <w:bookmarkEnd w:id="18"/>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：α肿瘤坏死因子测定试剂盒</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试剂用途：用于检测血清或肝素化血浆中的肿瘤坏死因子的含量。</w:t>
      </w:r>
    </w:p>
    <w:p>
      <w:pPr>
        <w:pStyle w:val="18"/>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样本类型：血</w:t>
      </w:r>
      <w:r>
        <w:rPr>
          <w:rFonts w:hint="eastAsia" w:hAnsi="宋体" w:cs="宋体"/>
          <w:sz w:val="24"/>
          <w:szCs w:val="24"/>
          <w:lang w:val="en-US" w:eastAsia="zh-CN"/>
        </w:rPr>
        <w:t>清</w:t>
      </w:r>
      <w:r>
        <w:rPr>
          <w:rFonts w:hint="eastAsia" w:ascii="宋体" w:hAnsi="宋体" w:eastAsia="宋体" w:cs="宋体"/>
          <w:sz w:val="24"/>
          <w:szCs w:val="24"/>
          <w:lang w:val="en-US" w:eastAsia="zh-CN"/>
        </w:rPr>
        <w:t>。</w:t>
      </w:r>
    </w:p>
    <w:p>
      <w:pPr>
        <w:pStyle w:val="18"/>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适用机型：适用各类全自动生化分析仪。</w:t>
      </w:r>
    </w:p>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有效期：≥12个月。</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lang w:val="en-US" w:eastAsia="zh-CN"/>
        </w:rPr>
        <w:t>5.</w:t>
      </w: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D94F0F54"/>
    <w:multiLevelType w:val="singleLevel"/>
    <w:tmpl w:val="D94F0F54"/>
    <w:lvl w:ilvl="0" w:tentative="0">
      <w:start w:val="1"/>
      <w:numFmt w:val="chineseCounting"/>
      <w:suff w:val="nothing"/>
      <w:lvlText w:val="%1、"/>
      <w:lvlJc w:val="left"/>
      <w:pPr>
        <w:ind w:left="-420" w:firstLine="420"/>
      </w:pPr>
      <w:rPr>
        <w:rFonts w:hint="eastAsia"/>
        <w:b w:val="0"/>
        <w:bCs w:val="0"/>
      </w:rPr>
    </w:lvl>
  </w:abstractNum>
  <w:abstractNum w:abstractNumId="4">
    <w:nsid w:val="E380AD4C"/>
    <w:multiLevelType w:val="singleLevel"/>
    <w:tmpl w:val="E380AD4C"/>
    <w:lvl w:ilvl="0" w:tentative="0">
      <w:start w:val="1"/>
      <w:numFmt w:val="chineseCounting"/>
      <w:suff w:val="nothing"/>
      <w:lvlText w:val="%1、"/>
      <w:lvlJc w:val="left"/>
      <w:pPr>
        <w:ind w:left="-420" w:firstLine="420"/>
      </w:pPr>
      <w:rPr>
        <w:rFonts w:hint="eastAsia"/>
        <w:b w:val="0"/>
        <w:bCs w:val="0"/>
      </w:rPr>
    </w:lvl>
  </w:abstractNum>
  <w:abstractNum w:abstractNumId="5">
    <w:nsid w:val="E537FDDB"/>
    <w:multiLevelType w:val="singleLevel"/>
    <w:tmpl w:val="E537FDDB"/>
    <w:lvl w:ilvl="0" w:tentative="0">
      <w:start w:val="1"/>
      <w:numFmt w:val="decimal"/>
      <w:lvlText w:val="%1."/>
      <w:lvlJc w:val="left"/>
      <w:pPr>
        <w:ind w:left="425" w:hanging="425"/>
      </w:pPr>
      <w:rPr>
        <w:rFonts w:hint="default"/>
      </w:rPr>
    </w:lvl>
  </w:abstractNum>
  <w:abstractNum w:abstractNumId="6">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7">
    <w:nsid w:val="01689DCF"/>
    <w:multiLevelType w:val="singleLevel"/>
    <w:tmpl w:val="01689DCF"/>
    <w:lvl w:ilvl="0" w:tentative="0">
      <w:start w:val="1"/>
      <w:numFmt w:val="decimal"/>
      <w:lvlText w:val="%1."/>
      <w:lvlJc w:val="left"/>
      <w:pPr>
        <w:ind w:left="425" w:hanging="425"/>
      </w:pPr>
      <w:rPr>
        <w:rFonts w:hint="default"/>
      </w:rPr>
    </w:lvl>
  </w:abstractNum>
  <w:abstractNum w:abstractNumId="8">
    <w:nsid w:val="0AC3E4B9"/>
    <w:multiLevelType w:val="singleLevel"/>
    <w:tmpl w:val="0AC3E4B9"/>
    <w:lvl w:ilvl="0" w:tentative="0">
      <w:start w:val="1"/>
      <w:numFmt w:val="decimal"/>
      <w:lvlText w:val="%1."/>
      <w:lvlJc w:val="left"/>
      <w:pPr>
        <w:ind w:left="425" w:hanging="425"/>
      </w:pPr>
      <w:rPr>
        <w:rFonts w:hint="default"/>
      </w:rPr>
    </w:lvl>
  </w:abstractNum>
  <w:abstractNum w:abstractNumId="9">
    <w:nsid w:val="0D4A1B7A"/>
    <w:multiLevelType w:val="singleLevel"/>
    <w:tmpl w:val="0D4A1B7A"/>
    <w:lvl w:ilvl="0" w:tentative="0">
      <w:start w:val="1"/>
      <w:numFmt w:val="decimal"/>
      <w:lvlText w:val="%1."/>
      <w:lvlJc w:val="left"/>
      <w:pPr>
        <w:ind w:left="425" w:hanging="425"/>
      </w:pPr>
      <w:rPr>
        <w:rFonts w:hint="default"/>
      </w:rPr>
    </w:lvl>
  </w:abstractNum>
  <w:abstractNum w:abstractNumId="10">
    <w:nsid w:val="10FC1BE1"/>
    <w:multiLevelType w:val="singleLevel"/>
    <w:tmpl w:val="10FC1BE1"/>
    <w:lvl w:ilvl="0" w:tentative="0">
      <w:start w:val="1"/>
      <w:numFmt w:val="chineseCounting"/>
      <w:suff w:val="nothing"/>
      <w:lvlText w:val="%1、"/>
      <w:lvlJc w:val="left"/>
      <w:pPr>
        <w:ind w:left="-420" w:firstLine="420"/>
      </w:pPr>
      <w:rPr>
        <w:rFonts w:hint="eastAsia"/>
        <w:b w:val="0"/>
        <w:bCs w:val="0"/>
      </w:rPr>
    </w:lvl>
  </w:abstractNum>
  <w:abstractNum w:abstractNumId="11">
    <w:nsid w:val="40C04F2A"/>
    <w:multiLevelType w:val="singleLevel"/>
    <w:tmpl w:val="40C04F2A"/>
    <w:lvl w:ilvl="0" w:tentative="0">
      <w:start w:val="1"/>
      <w:numFmt w:val="decimal"/>
      <w:lvlText w:val="%1."/>
      <w:lvlJc w:val="left"/>
      <w:pPr>
        <w:ind w:left="425" w:hanging="425"/>
      </w:pPr>
      <w:rPr>
        <w:rFonts w:hint="default"/>
      </w:rPr>
    </w:lvl>
  </w:abstractNum>
  <w:abstractNum w:abstractNumId="12">
    <w:nsid w:val="52FE4A56"/>
    <w:multiLevelType w:val="singleLevel"/>
    <w:tmpl w:val="52FE4A56"/>
    <w:lvl w:ilvl="0" w:tentative="0">
      <w:start w:val="1"/>
      <w:numFmt w:val="chineseCounting"/>
      <w:suff w:val="nothing"/>
      <w:lvlText w:val="%1、"/>
      <w:lvlJc w:val="left"/>
      <w:pPr>
        <w:ind w:left="-420" w:firstLine="420"/>
      </w:pPr>
      <w:rPr>
        <w:rFonts w:hint="eastAsia"/>
        <w:b w:val="0"/>
        <w:bCs w:val="0"/>
      </w:rPr>
    </w:lvl>
  </w:abstractNum>
  <w:abstractNum w:abstractNumId="1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5B761839"/>
    <w:multiLevelType w:val="singleLevel"/>
    <w:tmpl w:val="5B761839"/>
    <w:lvl w:ilvl="0" w:tentative="0">
      <w:start w:val="1"/>
      <w:numFmt w:val="decimal"/>
      <w:lvlText w:val="%1."/>
      <w:lvlJc w:val="left"/>
      <w:pPr>
        <w:ind w:left="425" w:hanging="425"/>
      </w:pPr>
      <w:rPr>
        <w:rFonts w:hint="default"/>
      </w:rPr>
    </w:lvl>
  </w:abstractNum>
  <w:num w:numId="1">
    <w:abstractNumId w:val="13"/>
  </w:num>
  <w:num w:numId="2">
    <w:abstractNumId w:val="2"/>
  </w:num>
  <w:num w:numId="3">
    <w:abstractNumId w:val="0"/>
  </w:num>
  <w:num w:numId="4">
    <w:abstractNumId w:val="1"/>
  </w:num>
  <w:num w:numId="5">
    <w:abstractNumId w:val="7"/>
  </w:num>
  <w:num w:numId="6">
    <w:abstractNumId w:val="6"/>
  </w:num>
  <w:num w:numId="7">
    <w:abstractNumId w:val="5"/>
  </w:num>
  <w:num w:numId="8">
    <w:abstractNumId w:val="10"/>
  </w:num>
  <w:num w:numId="9">
    <w:abstractNumId w:val="14"/>
  </w:num>
  <w:num w:numId="10">
    <w:abstractNumId w:val="4"/>
  </w:num>
  <w:num w:numId="11">
    <w:abstractNumId w:val="8"/>
  </w:num>
  <w:num w:numId="12">
    <w:abstractNumId w:val="3"/>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EF02652"/>
    <w:rsid w:val="0F0C212E"/>
    <w:rsid w:val="0FFD6BE5"/>
    <w:rsid w:val="126A0881"/>
    <w:rsid w:val="129544B2"/>
    <w:rsid w:val="139C0D9D"/>
    <w:rsid w:val="13BB3FAB"/>
    <w:rsid w:val="13E44EDE"/>
    <w:rsid w:val="19530D66"/>
    <w:rsid w:val="19BC5BE6"/>
    <w:rsid w:val="19DC576F"/>
    <w:rsid w:val="1A355C22"/>
    <w:rsid w:val="1A5F06D7"/>
    <w:rsid w:val="1ACC1559"/>
    <w:rsid w:val="1B09545F"/>
    <w:rsid w:val="1C7C757C"/>
    <w:rsid w:val="1CF2158A"/>
    <w:rsid w:val="1DBB4EF2"/>
    <w:rsid w:val="1DBC650F"/>
    <w:rsid w:val="1E4F1A12"/>
    <w:rsid w:val="1E6E1433"/>
    <w:rsid w:val="206F557C"/>
    <w:rsid w:val="21CA6472"/>
    <w:rsid w:val="22AA393E"/>
    <w:rsid w:val="23276141"/>
    <w:rsid w:val="23F2414E"/>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33B10"/>
    <w:rsid w:val="2F2C5770"/>
    <w:rsid w:val="2F535254"/>
    <w:rsid w:val="315E1161"/>
    <w:rsid w:val="32725D0C"/>
    <w:rsid w:val="331367BC"/>
    <w:rsid w:val="34EE008B"/>
    <w:rsid w:val="35173EF4"/>
    <w:rsid w:val="352B33FC"/>
    <w:rsid w:val="35805CB4"/>
    <w:rsid w:val="36550770"/>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4C60E76"/>
    <w:rsid w:val="44E76487"/>
    <w:rsid w:val="4535060E"/>
    <w:rsid w:val="469B3D4F"/>
    <w:rsid w:val="473A03ED"/>
    <w:rsid w:val="49B25227"/>
    <w:rsid w:val="4B863339"/>
    <w:rsid w:val="4BA42333"/>
    <w:rsid w:val="4CEE1CF2"/>
    <w:rsid w:val="4D25098E"/>
    <w:rsid w:val="4D77632F"/>
    <w:rsid w:val="4DDC66FE"/>
    <w:rsid w:val="4E7C3473"/>
    <w:rsid w:val="4FB81DC2"/>
    <w:rsid w:val="501778F7"/>
    <w:rsid w:val="50CF0D56"/>
    <w:rsid w:val="52C021AE"/>
    <w:rsid w:val="533613EF"/>
    <w:rsid w:val="5371335C"/>
    <w:rsid w:val="5389510F"/>
    <w:rsid w:val="54643684"/>
    <w:rsid w:val="54BD39A2"/>
    <w:rsid w:val="55224D7B"/>
    <w:rsid w:val="56E97E3E"/>
    <w:rsid w:val="570E7256"/>
    <w:rsid w:val="59A549DC"/>
    <w:rsid w:val="5A825D4E"/>
    <w:rsid w:val="5BB838A1"/>
    <w:rsid w:val="5CDE5CFF"/>
    <w:rsid w:val="5CF501E7"/>
    <w:rsid w:val="5E4E4400"/>
    <w:rsid w:val="5E5E67D4"/>
    <w:rsid w:val="5EAC2763"/>
    <w:rsid w:val="60BA47AE"/>
    <w:rsid w:val="61E26848"/>
    <w:rsid w:val="63B05371"/>
    <w:rsid w:val="63D92820"/>
    <w:rsid w:val="63E1229E"/>
    <w:rsid w:val="64917820"/>
    <w:rsid w:val="6688474A"/>
    <w:rsid w:val="66B670BA"/>
    <w:rsid w:val="67411EF2"/>
    <w:rsid w:val="67C41429"/>
    <w:rsid w:val="684E60CA"/>
    <w:rsid w:val="685F15E7"/>
    <w:rsid w:val="690540BF"/>
    <w:rsid w:val="698F11EF"/>
    <w:rsid w:val="699B0761"/>
    <w:rsid w:val="69BE7719"/>
    <w:rsid w:val="6A0856B9"/>
    <w:rsid w:val="6A664098"/>
    <w:rsid w:val="6BB07235"/>
    <w:rsid w:val="6BCB7ABB"/>
    <w:rsid w:val="6C146FEA"/>
    <w:rsid w:val="6CE12E64"/>
    <w:rsid w:val="6CEA0C57"/>
    <w:rsid w:val="6D024D8C"/>
    <w:rsid w:val="6E5E1F70"/>
    <w:rsid w:val="6ECC7A0D"/>
    <w:rsid w:val="706B18B9"/>
    <w:rsid w:val="709F0097"/>
    <w:rsid w:val="70EA395C"/>
    <w:rsid w:val="71C45194"/>
    <w:rsid w:val="7397006E"/>
    <w:rsid w:val="740D6797"/>
    <w:rsid w:val="748B756C"/>
    <w:rsid w:val="75CC49D7"/>
    <w:rsid w:val="76C539AC"/>
    <w:rsid w:val="77C35AEB"/>
    <w:rsid w:val="79715BD1"/>
    <w:rsid w:val="7A5944E4"/>
    <w:rsid w:val="7B983999"/>
    <w:rsid w:val="7C3A20F4"/>
    <w:rsid w:val="7C514E63"/>
    <w:rsid w:val="7CA25B04"/>
    <w:rsid w:val="7D2F5BB7"/>
    <w:rsid w:val="7DD03920"/>
    <w:rsid w:val="7DF33D62"/>
    <w:rsid w:val="7ED9015B"/>
    <w:rsid w:val="7F35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1248</Words>
  <Characters>1365</Characters>
  <Lines>12</Lines>
  <Paragraphs>17</Paragraphs>
  <TotalTime>9</TotalTime>
  <ScaleCrop>false</ScaleCrop>
  <LinksUpToDate>false</LinksUpToDate>
  <CharactersWithSpaces>1382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2025-04-22T01:05:54Z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