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360" w:lineRule="auto"/>
        <w:jc w:val="center"/>
        <w:rPr>
          <w:rFonts w:ascii="Times New Roman" w:hAnsi="Times New Roman" w:eastAsia="华文行楷"/>
          <w:color w:val="FF0000"/>
          <w:sz w:val="52"/>
          <w:szCs w:val="52"/>
        </w:rPr>
      </w:pPr>
      <w:r>
        <w:rPr>
          <w:rFonts w:hint="eastAsia" w:ascii="Times New Roman" w:hAnsi="Times New Roman" w:eastAsia="华文行楷"/>
          <w:color w:val="FF0000"/>
          <w:sz w:val="52"/>
          <w:szCs w:val="52"/>
        </w:rPr>
        <w:t xml:space="preserve"> </w:t>
      </w:r>
    </w:p>
    <w:p>
      <w:pPr>
        <w:adjustRightInd w:val="0"/>
        <w:snapToGrid w:val="0"/>
        <w:spacing w:line="360" w:lineRule="auto"/>
        <w:jc w:val="right"/>
        <w:rPr>
          <w:rFonts w:ascii="Times New Roman" w:hAnsi="Times New Roman" w:eastAsia="楷体_GB2312"/>
          <w:b/>
          <w:sz w:val="24"/>
        </w:rPr>
      </w:pPr>
    </w:p>
    <w:p>
      <w:pPr>
        <w:adjustRightInd w:val="0"/>
        <w:snapToGrid w:val="0"/>
        <w:spacing w:line="360" w:lineRule="auto"/>
        <w:jc w:val="right"/>
        <w:rPr>
          <w:rFonts w:ascii="Times New Roman" w:hAnsi="Times New Roman" w:eastAsia="楷体_GB2312"/>
          <w:b/>
          <w:sz w:val="24"/>
        </w:rPr>
      </w:pPr>
    </w:p>
    <w:p>
      <w:pPr>
        <w:adjustRightInd w:val="0"/>
        <w:snapToGrid w:val="0"/>
        <w:spacing w:line="360" w:lineRule="auto"/>
        <w:jc w:val="right"/>
        <w:rPr>
          <w:rFonts w:ascii="Times New Roman" w:hAnsi="Times New Roman" w:eastAsia="楷体_GB2312"/>
          <w:b/>
          <w:sz w:val="24"/>
        </w:rPr>
      </w:pPr>
    </w:p>
    <w:p>
      <w:pPr>
        <w:adjustRightInd w:val="0"/>
        <w:snapToGrid w:val="0"/>
        <w:spacing w:line="360" w:lineRule="auto"/>
        <w:jc w:val="center"/>
        <w:rPr>
          <w:rFonts w:ascii="Times New Roman" w:hAnsi="Times New Roman" w:eastAsia="楷体_GB2312"/>
          <w:color w:val="000000" w:themeColor="text1"/>
          <w:sz w:val="52"/>
          <w:szCs w:val="52"/>
          <w14:textFill>
            <w14:solidFill>
              <w14:schemeClr w14:val="tx1"/>
            </w14:solidFill>
          </w14:textFill>
        </w:rPr>
      </w:pPr>
      <w:bookmarkStart w:id="0" w:name="PO_项目名称28"/>
      <w:r>
        <w:rPr>
          <w:rFonts w:hint="eastAsia" w:asciiTheme="minorEastAsia" w:hAnsiTheme="minorEastAsia" w:eastAsiaTheme="minorEastAsia" w:cstheme="minorEastAsia"/>
          <w:b/>
          <w:bCs/>
          <w:color w:val="000000" w:themeColor="text1"/>
          <w:sz w:val="52"/>
          <w:szCs w:val="52"/>
          <w14:textFill>
            <w14:solidFill>
              <w14:schemeClr w14:val="tx1"/>
            </w14:solidFill>
          </w14:textFill>
        </w:rPr>
        <w:t>上海市中医医院委外招标代理机构</w:t>
      </w:r>
      <w:bookmarkEnd w:id="0"/>
      <w:r>
        <w:rPr>
          <w:rFonts w:hint="eastAsia" w:ascii="宋体" w:hAnsi="宋体"/>
          <w:b/>
          <w:color w:val="000000" w:themeColor="text1"/>
          <w:sz w:val="52"/>
          <w:szCs w:val="52"/>
          <w14:textFill>
            <w14:solidFill>
              <w14:schemeClr w14:val="tx1"/>
            </w14:solidFill>
          </w14:textFill>
        </w:rPr>
        <w:t>（</w:t>
      </w:r>
      <w:r>
        <w:rPr>
          <w:rFonts w:hint="eastAsia" w:ascii="宋体" w:hAnsi="宋体"/>
          <w:b/>
          <w:color w:val="000000" w:themeColor="text1"/>
          <w:sz w:val="52"/>
          <w:szCs w:val="52"/>
          <w:lang w:val="en-US" w:eastAsia="zh-CN"/>
          <w14:textFill>
            <w14:solidFill>
              <w14:schemeClr w14:val="tx1"/>
            </w14:solidFill>
          </w14:textFill>
        </w:rPr>
        <w:t>修缮类工程</w:t>
      </w:r>
      <w:r>
        <w:rPr>
          <w:rFonts w:hint="eastAsia" w:ascii="宋体" w:hAnsi="宋体"/>
          <w:b/>
          <w:color w:val="000000" w:themeColor="text1"/>
          <w:sz w:val="52"/>
          <w:szCs w:val="52"/>
          <w14:textFill>
            <w14:solidFill>
              <w14:schemeClr w14:val="tx1"/>
            </w14:solidFill>
          </w14:textFill>
        </w:rPr>
        <w:t>）</w:t>
      </w:r>
    </w:p>
    <w:p>
      <w:pPr>
        <w:adjustRightInd w:val="0"/>
        <w:snapToGrid w:val="0"/>
        <w:spacing w:line="360" w:lineRule="auto"/>
        <w:rPr>
          <w:rFonts w:ascii="Times New Roman" w:hAnsi="Times New Roman"/>
          <w:sz w:val="24"/>
        </w:rPr>
      </w:pPr>
    </w:p>
    <w:p>
      <w:pPr>
        <w:adjustRightInd w:val="0"/>
        <w:snapToGrid w:val="0"/>
        <w:spacing w:line="360" w:lineRule="auto"/>
        <w:rPr>
          <w:rFonts w:ascii="Times New Roman" w:hAnsi="Times New Roman"/>
          <w:sz w:val="24"/>
        </w:rPr>
      </w:pPr>
    </w:p>
    <w:p>
      <w:pPr>
        <w:adjustRightInd w:val="0"/>
        <w:snapToGrid w:val="0"/>
        <w:spacing w:line="360" w:lineRule="auto"/>
        <w:rPr>
          <w:rFonts w:ascii="Times New Roman" w:hAnsi="Times New Roman"/>
          <w:sz w:val="24"/>
        </w:rPr>
      </w:pPr>
    </w:p>
    <w:p>
      <w:pPr>
        <w:adjustRightInd w:val="0"/>
        <w:snapToGrid w:val="0"/>
        <w:spacing w:line="360" w:lineRule="auto"/>
        <w:jc w:val="center"/>
        <w:rPr>
          <w:rFonts w:ascii="Times New Roman" w:hAnsi="Times New Roman" w:eastAsia="华文行楷"/>
          <w:b/>
          <w:w w:val="150"/>
          <w:sz w:val="96"/>
          <w:szCs w:val="96"/>
        </w:rPr>
      </w:pPr>
      <w:r>
        <w:rPr>
          <w:rFonts w:hint="eastAsia" w:ascii="Times New Roman" w:hAnsi="Times New Roman" w:eastAsia="华文行楷"/>
          <w:b/>
          <w:w w:val="150"/>
          <w:sz w:val="96"/>
          <w:szCs w:val="96"/>
        </w:rPr>
        <w:t>遴选文件</w:t>
      </w:r>
    </w:p>
    <w:p>
      <w:pPr>
        <w:adjustRightInd w:val="0"/>
        <w:snapToGrid w:val="0"/>
        <w:spacing w:line="360" w:lineRule="auto"/>
        <w:rPr>
          <w:rFonts w:ascii="Times New Roman" w:hAnsi="Times New Roman"/>
          <w:sz w:val="24"/>
        </w:rPr>
      </w:pPr>
    </w:p>
    <w:p>
      <w:pPr>
        <w:adjustRightInd w:val="0"/>
        <w:snapToGrid w:val="0"/>
        <w:spacing w:line="360" w:lineRule="auto"/>
        <w:jc w:val="center"/>
        <w:rPr>
          <w:rFonts w:ascii="Times New Roman" w:hAnsi="Times New Roman"/>
          <w:sz w:val="24"/>
        </w:rPr>
      </w:pPr>
    </w:p>
    <w:p>
      <w:pPr>
        <w:adjustRightInd w:val="0"/>
        <w:snapToGrid w:val="0"/>
        <w:spacing w:line="360" w:lineRule="auto"/>
        <w:jc w:val="center"/>
        <w:rPr>
          <w:rFonts w:ascii="Times New Roman" w:hAnsi="Times New Roman"/>
          <w:sz w:val="24"/>
        </w:rPr>
      </w:pPr>
    </w:p>
    <w:p>
      <w:pPr>
        <w:adjustRightInd w:val="0"/>
        <w:snapToGrid w:val="0"/>
        <w:spacing w:line="360" w:lineRule="auto"/>
        <w:jc w:val="center"/>
        <w:rPr>
          <w:rFonts w:ascii="Times New Roman" w:hAnsi="Times New Roman"/>
          <w:sz w:val="24"/>
        </w:rPr>
      </w:pPr>
    </w:p>
    <w:p>
      <w:pPr>
        <w:adjustRightInd w:val="0"/>
        <w:snapToGrid w:val="0"/>
        <w:spacing w:line="360" w:lineRule="auto"/>
        <w:jc w:val="center"/>
        <w:rPr>
          <w:rFonts w:ascii="Times New Roman" w:hAnsi="Times New Roman"/>
          <w:sz w:val="24"/>
        </w:rPr>
      </w:pPr>
    </w:p>
    <w:p>
      <w:pPr>
        <w:adjustRightInd w:val="0"/>
        <w:snapToGrid w:val="0"/>
        <w:spacing w:line="360" w:lineRule="auto"/>
        <w:jc w:val="center"/>
        <w:rPr>
          <w:rFonts w:ascii="Times New Roman" w:hAnsi="Times New Roman"/>
          <w:sz w:val="24"/>
        </w:rPr>
      </w:pPr>
    </w:p>
    <w:p>
      <w:pPr>
        <w:adjustRightInd w:val="0"/>
        <w:snapToGrid w:val="0"/>
        <w:spacing w:line="360" w:lineRule="auto"/>
        <w:jc w:val="center"/>
        <w:rPr>
          <w:rFonts w:ascii="Times New Roman" w:hAnsi="Times New Roman"/>
          <w:sz w:val="24"/>
        </w:rPr>
      </w:pPr>
    </w:p>
    <w:p>
      <w:pPr>
        <w:adjustRightInd w:val="0"/>
        <w:snapToGrid w:val="0"/>
        <w:spacing w:line="360" w:lineRule="auto"/>
        <w:jc w:val="center"/>
        <w:rPr>
          <w:rFonts w:ascii="Times New Roman" w:hAnsi="Times New Roman"/>
          <w:sz w:val="24"/>
        </w:rPr>
      </w:pPr>
    </w:p>
    <w:p>
      <w:pPr>
        <w:adjustRightInd w:val="0"/>
        <w:snapToGrid w:val="0"/>
        <w:spacing w:line="360" w:lineRule="auto"/>
        <w:ind w:firstLine="2088" w:firstLineChars="650"/>
        <w:rPr>
          <w:rFonts w:hint="eastAsia" w:ascii="Times New Roman" w:hAnsi="Times New Roman" w:eastAsia="楷体_GB2312"/>
          <w:b/>
          <w:color w:val="000000" w:themeColor="text1"/>
          <w:sz w:val="32"/>
          <w:szCs w:val="32"/>
          <w14:textFill>
            <w14:solidFill>
              <w14:schemeClr w14:val="tx1"/>
            </w14:solidFill>
          </w14:textFill>
        </w:rPr>
      </w:pPr>
      <w:r>
        <w:rPr>
          <w:rFonts w:hint="eastAsia" w:ascii="Times New Roman" w:hAnsi="Times New Roman" w:eastAsia="楷体_GB2312"/>
          <w:b/>
          <w:sz w:val="32"/>
          <w:szCs w:val="32"/>
        </w:rPr>
        <w:t>采购人：</w:t>
      </w:r>
      <w:bookmarkStart w:id="1" w:name="PO_采购人28"/>
      <w:r>
        <w:rPr>
          <w:rFonts w:hint="eastAsia" w:ascii="Times New Roman" w:hAnsi="Times New Roman" w:eastAsia="楷体_GB2312"/>
          <w:b/>
          <w:color w:val="000000" w:themeColor="text1"/>
          <w:sz w:val="32"/>
          <w:szCs w:val="32"/>
          <w14:textFill>
            <w14:solidFill>
              <w14:schemeClr w14:val="tx1"/>
            </w14:solidFill>
          </w14:textFill>
        </w:rPr>
        <w:t>上海市中医医院</w:t>
      </w:r>
      <w:bookmarkEnd w:id="1"/>
    </w:p>
    <w:p>
      <w:pPr>
        <w:pStyle w:val="2"/>
        <w:rPr>
          <w:rFonts w:hint="default" w:eastAsia="楷体_GB2312"/>
          <w:lang w:val="en-US" w:eastAsia="zh-CN"/>
        </w:rPr>
      </w:pPr>
      <w:r>
        <w:rPr>
          <w:rFonts w:hint="eastAsia" w:ascii="Times New Roman" w:hAnsi="Times New Roman" w:eastAsia="楷体_GB2312"/>
          <w:b/>
          <w:color w:val="000000" w:themeColor="text1"/>
          <w:sz w:val="32"/>
          <w:szCs w:val="32"/>
          <w:lang w:val="en-US" w:eastAsia="zh-CN"/>
          <w14:textFill>
            <w14:solidFill>
              <w14:schemeClr w14:val="tx1"/>
            </w14:solidFill>
          </w14:textFill>
        </w:rPr>
        <w:t xml:space="preserve">                  二零二五年三月</w:t>
      </w:r>
    </w:p>
    <w:p>
      <w:pPr>
        <w:ind w:left="1260" w:firstLine="420"/>
        <w:jc w:val="left"/>
        <w:rPr>
          <w:rFonts w:ascii="Times New Roman" w:hAnsi="Times New Roman" w:eastAsia="楷体_GB2312"/>
          <w:b/>
          <w:bCs/>
          <w:sz w:val="32"/>
          <w:szCs w:val="32"/>
        </w:rPr>
      </w:pPr>
    </w:p>
    <w:p>
      <w:pPr>
        <w:widowControl/>
        <w:jc w:val="left"/>
        <w:rPr>
          <w:rFonts w:ascii="Times New Roman" w:hAnsi="Times New Roman" w:eastAsia="楷体_GB2312"/>
          <w:b/>
          <w:bCs/>
          <w:sz w:val="32"/>
          <w:szCs w:val="32"/>
        </w:rPr>
      </w:pPr>
      <w:r>
        <w:rPr>
          <w:rFonts w:ascii="Times New Roman" w:hAnsi="Times New Roman" w:eastAsia="楷体_GB2312"/>
          <w:b/>
          <w:bCs/>
          <w:sz w:val="32"/>
          <w:szCs w:val="32"/>
        </w:rPr>
        <w:br w:type="page"/>
      </w:r>
    </w:p>
    <w:p>
      <w:pPr>
        <w:spacing w:line="360" w:lineRule="auto"/>
        <w:jc w:val="center"/>
        <w:rPr>
          <w:rFonts w:ascii="Times New Roman" w:hAnsi="Times New Roman"/>
          <w:sz w:val="24"/>
          <w:szCs w:val="24"/>
        </w:rPr>
      </w:pPr>
      <w:r>
        <w:rPr>
          <w:rFonts w:hint="eastAsia" w:ascii="Times New Roman" w:hAnsi="Times New Roman"/>
          <w:b/>
          <w:sz w:val="28"/>
          <w:szCs w:val="28"/>
        </w:rPr>
        <w:t>第一章 采购邀请</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上海市中医医院医学（以下称“采购人”）拟对下述项目进行遴选，现邀请合格的招标代理机构参加遴选：</w:t>
      </w:r>
    </w:p>
    <w:p>
      <w:pPr>
        <w:spacing w:line="360" w:lineRule="auto"/>
        <w:rPr>
          <w:rFonts w:ascii="Times New Roman" w:hAnsi="Times New Roman"/>
          <w:sz w:val="24"/>
          <w:szCs w:val="24"/>
        </w:rPr>
      </w:pPr>
      <w:r>
        <w:rPr>
          <w:rFonts w:hint="eastAsia" w:ascii="Times New Roman" w:hAnsi="Times New Roman"/>
          <w:sz w:val="24"/>
          <w:szCs w:val="24"/>
        </w:rPr>
        <w:t>一、基本信息</w:t>
      </w:r>
    </w:p>
    <w:p>
      <w:pPr>
        <w:spacing w:line="360" w:lineRule="auto"/>
        <w:rPr>
          <w:rFonts w:ascii="Times New Roman" w:hAnsi="Times New Roman"/>
          <w:sz w:val="24"/>
          <w:szCs w:val="24"/>
        </w:rPr>
      </w:pPr>
      <w:r>
        <w:rPr>
          <w:rFonts w:hint="eastAsia" w:ascii="Times New Roman" w:hAnsi="Times New Roman"/>
          <w:sz w:val="24"/>
          <w:szCs w:val="24"/>
        </w:rPr>
        <w:t>1. 项目名称：上海市中医医院委外招标代理机构遴选项目</w:t>
      </w:r>
    </w:p>
    <w:p>
      <w:pPr>
        <w:adjustRightInd w:val="0"/>
        <w:snapToGrid w:val="0"/>
        <w:spacing w:line="360" w:lineRule="auto"/>
        <w:rPr>
          <w:rFonts w:hint="eastAsia" w:ascii="Times New Roman" w:hAnsi="Times New Roman"/>
          <w:sz w:val="24"/>
          <w:szCs w:val="24"/>
          <w:lang w:eastAsia="zh-CN"/>
        </w:rPr>
      </w:pPr>
      <w:r>
        <w:rPr>
          <w:rFonts w:hint="eastAsia" w:ascii="Times New Roman" w:hAnsi="Times New Roman"/>
          <w:sz w:val="24"/>
          <w:szCs w:val="24"/>
        </w:rPr>
        <w:t>2. 项目内容</w:t>
      </w:r>
      <w:r>
        <w:rPr>
          <w:rFonts w:hint="eastAsia" w:ascii="Times New Roman" w:hAnsi="Times New Roman"/>
          <w:sz w:val="24"/>
          <w:szCs w:val="24"/>
          <w:lang w:eastAsia="zh-CN"/>
        </w:rPr>
        <w:t>：负责后勤保障处20万元以上（含20万元）自筹资金及财政性资金修缮类工程项目招标代理服务，包括但不限于采购方案编制、采购过程组织、采购结果提交等。</w:t>
      </w:r>
    </w:p>
    <w:p>
      <w:pPr>
        <w:adjustRightInd w:val="0"/>
        <w:snapToGrid w:val="0"/>
        <w:spacing w:line="360" w:lineRule="auto"/>
        <w:rPr>
          <w:rFonts w:hint="eastAsia" w:ascii="宋体" w:hAnsi="Courier New"/>
          <w:sz w:val="24"/>
          <w:highlight w:val="none"/>
        </w:rPr>
      </w:pPr>
      <w:r>
        <w:rPr>
          <w:rFonts w:hint="eastAsia" w:ascii="Times New Roman" w:hAnsi="Times New Roman"/>
          <w:sz w:val="24"/>
          <w:szCs w:val="24"/>
          <w:lang w:val="en-US" w:eastAsia="zh-CN"/>
        </w:rPr>
        <w:t>3.项目释义：</w:t>
      </w:r>
      <w:r>
        <w:rPr>
          <w:rFonts w:hint="eastAsia"/>
          <w:sz w:val="24"/>
          <w:szCs w:val="24"/>
        </w:rPr>
        <w:t>修缮类工程内容包括但不限于房屋修缮，装饰装修，机电安装，给排水系统、医用气体系统、消防系统改造等。</w:t>
      </w:r>
    </w:p>
    <w:p>
      <w:pPr>
        <w:adjustRightInd w:val="0"/>
        <w:snapToGrid w:val="0"/>
        <w:spacing w:line="360" w:lineRule="auto"/>
        <w:rPr>
          <w:rFonts w:ascii="Times New Roman" w:hAnsi="Times New Roman"/>
          <w:sz w:val="24"/>
          <w:szCs w:val="24"/>
        </w:rPr>
      </w:pPr>
      <w:r>
        <w:rPr>
          <w:rFonts w:hint="eastAsia" w:ascii="Times New Roman" w:hAnsi="Times New Roman"/>
          <w:sz w:val="24"/>
          <w:szCs w:val="24"/>
          <w:lang w:val="en-US" w:eastAsia="zh-CN"/>
        </w:rPr>
        <w:t>4</w:t>
      </w:r>
      <w:r>
        <w:rPr>
          <w:rFonts w:hint="eastAsia" w:ascii="Times New Roman" w:hAnsi="Times New Roman"/>
          <w:sz w:val="24"/>
          <w:szCs w:val="24"/>
        </w:rPr>
        <w:t>. 服务期限：</w:t>
      </w:r>
      <w:r>
        <w:rPr>
          <w:rFonts w:hint="eastAsia" w:ascii="宋体" w:hAnsi="Courier New"/>
          <w:sz w:val="24"/>
          <w:highlight w:val="none"/>
          <w:lang w:val="en-US" w:eastAsia="zh-CN"/>
        </w:rPr>
        <w:t>自合同签订之日起至2028年12月31日</w:t>
      </w:r>
    </w:p>
    <w:p>
      <w:pPr>
        <w:spacing w:line="360" w:lineRule="auto"/>
        <w:rPr>
          <w:rFonts w:ascii="Times New Roman" w:hAnsi="Times New Roman"/>
          <w:sz w:val="24"/>
          <w:szCs w:val="24"/>
        </w:rPr>
      </w:pPr>
      <w:r>
        <w:rPr>
          <w:rFonts w:hint="eastAsia" w:ascii="Times New Roman" w:hAnsi="Times New Roman"/>
          <w:sz w:val="24"/>
          <w:szCs w:val="24"/>
          <w:lang w:val="en-US" w:eastAsia="zh-CN"/>
        </w:rPr>
        <w:t>5</w:t>
      </w:r>
      <w:r>
        <w:rPr>
          <w:rFonts w:hint="eastAsia" w:ascii="Times New Roman" w:hAnsi="Times New Roman"/>
          <w:sz w:val="24"/>
          <w:szCs w:val="24"/>
        </w:rPr>
        <w:t>. 招标代理机构资质要求：</w:t>
      </w:r>
    </w:p>
    <w:p>
      <w:pPr>
        <w:spacing w:line="360" w:lineRule="auto"/>
        <w:rPr>
          <w:rFonts w:ascii="Times New Roman" w:hAnsi="Times New Roman"/>
          <w:sz w:val="24"/>
          <w:szCs w:val="24"/>
        </w:rPr>
      </w:pPr>
      <w:r>
        <w:rPr>
          <w:rFonts w:hint="eastAsia" w:ascii="Times New Roman" w:hAnsi="Times New Roman"/>
          <w:sz w:val="24"/>
          <w:szCs w:val="24"/>
        </w:rPr>
        <w:t>(1) 招标代理机构必须是在中华人民共和国境内注册、具有独立承担民事责任能力的招标代理机构，须提供加盖公章的营业执照复印件；</w:t>
      </w:r>
    </w:p>
    <w:p>
      <w:pPr>
        <w:spacing w:line="360" w:lineRule="auto"/>
        <w:rPr>
          <w:rFonts w:ascii="Times New Roman" w:hAnsi="Times New Roman"/>
          <w:sz w:val="24"/>
          <w:szCs w:val="24"/>
        </w:rPr>
      </w:pPr>
      <w:r>
        <w:rPr>
          <w:rFonts w:hint="eastAsia" w:ascii="Times New Roman" w:hAnsi="Times New Roman"/>
          <w:sz w:val="24"/>
          <w:szCs w:val="24"/>
        </w:rPr>
        <w:t>(2) 招标代理机构必须已完成政府采购代理机构备案和机电产品国际招标代理机构备案；</w:t>
      </w:r>
    </w:p>
    <w:p>
      <w:pPr>
        <w:spacing w:line="360" w:lineRule="auto"/>
        <w:rPr>
          <w:rFonts w:ascii="Times New Roman" w:hAnsi="Times New Roman"/>
          <w:sz w:val="24"/>
          <w:szCs w:val="24"/>
        </w:rPr>
      </w:pPr>
      <w:r>
        <w:rPr>
          <w:rFonts w:hint="eastAsia" w:ascii="Times New Roman" w:hAnsi="Times New Roman"/>
          <w:sz w:val="24"/>
          <w:szCs w:val="24"/>
        </w:rPr>
        <w:t>(3) 招标代理机构近三年内在经营活动中没有违法记录；</w:t>
      </w:r>
    </w:p>
    <w:p>
      <w:pPr>
        <w:spacing w:line="360" w:lineRule="auto"/>
        <w:rPr>
          <w:rFonts w:ascii="Times New Roman" w:hAnsi="Times New Roman"/>
          <w:sz w:val="24"/>
          <w:szCs w:val="24"/>
        </w:rPr>
      </w:pPr>
      <w:r>
        <w:rPr>
          <w:rFonts w:hint="eastAsia" w:ascii="Times New Roman" w:hAnsi="Times New Roman"/>
          <w:sz w:val="24"/>
          <w:szCs w:val="24"/>
        </w:rPr>
        <w:t>(</w:t>
      </w:r>
      <w:r>
        <w:rPr>
          <w:rFonts w:hint="eastAsia" w:ascii="Times New Roman" w:hAnsi="Times New Roman"/>
          <w:sz w:val="24"/>
          <w:szCs w:val="24"/>
          <w:lang w:val="en-US" w:eastAsia="zh-CN"/>
        </w:rPr>
        <w:t>4</w:t>
      </w:r>
      <w:r>
        <w:rPr>
          <w:rFonts w:hint="eastAsia" w:ascii="Times New Roman" w:hAnsi="Times New Roman"/>
          <w:sz w:val="24"/>
          <w:szCs w:val="24"/>
        </w:rPr>
        <w:t>)招标代理机构在上海有固定的办公场所,须提供加盖公章的产权证明或租赁合同复印件；</w:t>
      </w:r>
    </w:p>
    <w:p>
      <w:pPr>
        <w:spacing w:line="360" w:lineRule="auto"/>
        <w:rPr>
          <w:rFonts w:ascii="Times New Roman" w:hAnsi="Times New Roman"/>
          <w:sz w:val="24"/>
          <w:szCs w:val="24"/>
        </w:rPr>
      </w:pPr>
      <w:r>
        <w:rPr>
          <w:rFonts w:hint="eastAsia" w:ascii="Times New Roman" w:hAnsi="Times New Roman"/>
          <w:sz w:val="24"/>
          <w:szCs w:val="24"/>
        </w:rPr>
        <w:t>(</w:t>
      </w:r>
      <w:r>
        <w:rPr>
          <w:rFonts w:hint="eastAsia" w:ascii="Times New Roman" w:hAnsi="Times New Roman"/>
          <w:sz w:val="24"/>
          <w:szCs w:val="24"/>
          <w:lang w:val="en-US" w:eastAsia="zh-CN"/>
        </w:rPr>
        <w:t>5</w:t>
      </w:r>
      <w:r>
        <w:rPr>
          <w:rFonts w:hint="eastAsia" w:ascii="Times New Roman" w:hAnsi="Times New Roman"/>
          <w:sz w:val="24"/>
          <w:szCs w:val="24"/>
        </w:rPr>
        <w:t>) 不接受联合体参选。</w:t>
      </w:r>
    </w:p>
    <w:p>
      <w:pPr>
        <w:spacing w:line="360" w:lineRule="auto"/>
        <w:rPr>
          <w:rFonts w:ascii="Times New Roman" w:hAnsi="Times New Roman"/>
          <w:sz w:val="24"/>
          <w:szCs w:val="24"/>
        </w:rPr>
      </w:pPr>
      <w:r>
        <w:rPr>
          <w:rFonts w:hint="eastAsia" w:ascii="Times New Roman" w:hAnsi="Times New Roman"/>
          <w:sz w:val="24"/>
          <w:szCs w:val="24"/>
        </w:rPr>
        <w:t>二、递交遴选响应文件截止时间及资料递送</w:t>
      </w:r>
    </w:p>
    <w:p>
      <w:pPr>
        <w:spacing w:line="360" w:lineRule="auto"/>
        <w:rPr>
          <w:rFonts w:ascii="Times New Roman" w:hAnsi="Times New Roman"/>
          <w:sz w:val="24"/>
          <w:szCs w:val="24"/>
        </w:rPr>
      </w:pPr>
      <w:r>
        <w:rPr>
          <w:rFonts w:hint="eastAsia" w:ascii="Times New Roman" w:hAnsi="Times New Roman"/>
          <w:sz w:val="24"/>
          <w:szCs w:val="24"/>
        </w:rPr>
        <w:t>1、获取遴选文件时间：202</w:t>
      </w:r>
      <w:r>
        <w:rPr>
          <w:rFonts w:hint="eastAsia" w:ascii="Times New Roman" w:hAnsi="Times New Roman"/>
          <w:sz w:val="24"/>
          <w:szCs w:val="24"/>
          <w:lang w:val="en-US" w:eastAsia="zh-CN"/>
        </w:rPr>
        <w:t>5</w:t>
      </w:r>
      <w:r>
        <w:rPr>
          <w:rFonts w:hint="eastAsia" w:ascii="Times New Roman" w:hAnsi="Times New Roman"/>
          <w:sz w:val="24"/>
          <w:szCs w:val="24"/>
        </w:rPr>
        <w:t>年</w:t>
      </w:r>
      <w:r>
        <w:rPr>
          <w:rFonts w:hint="eastAsia" w:ascii="Times New Roman" w:hAnsi="Times New Roman"/>
          <w:sz w:val="24"/>
          <w:szCs w:val="24"/>
          <w:lang w:val="en-US" w:eastAsia="zh-CN"/>
        </w:rPr>
        <w:t>3</w:t>
      </w:r>
      <w:r>
        <w:rPr>
          <w:rFonts w:hint="eastAsia" w:ascii="Times New Roman" w:hAnsi="Times New Roman"/>
          <w:sz w:val="24"/>
          <w:szCs w:val="24"/>
        </w:rPr>
        <w:t xml:space="preserve"> 月</w:t>
      </w:r>
      <w:r>
        <w:rPr>
          <w:rFonts w:hint="eastAsia" w:ascii="Times New Roman" w:hAnsi="Times New Roman"/>
          <w:sz w:val="24"/>
          <w:szCs w:val="24"/>
          <w:lang w:val="en-US" w:eastAsia="zh-CN"/>
        </w:rPr>
        <w:t>21</w:t>
      </w:r>
      <w:r>
        <w:rPr>
          <w:rFonts w:hint="eastAsia" w:ascii="Times New Roman" w:hAnsi="Times New Roman"/>
          <w:sz w:val="24"/>
          <w:szCs w:val="24"/>
        </w:rPr>
        <w:t>日9:00时 202</w:t>
      </w:r>
      <w:r>
        <w:rPr>
          <w:rFonts w:hint="eastAsia" w:ascii="Times New Roman" w:hAnsi="Times New Roman"/>
          <w:sz w:val="24"/>
          <w:szCs w:val="24"/>
          <w:lang w:val="en-US" w:eastAsia="zh-CN"/>
        </w:rPr>
        <w:t>5</w:t>
      </w:r>
      <w:r>
        <w:rPr>
          <w:rFonts w:hint="eastAsia" w:ascii="Times New Roman" w:hAnsi="Times New Roman"/>
          <w:sz w:val="24"/>
          <w:szCs w:val="24"/>
        </w:rPr>
        <w:t>年月</w:t>
      </w:r>
      <w:r>
        <w:rPr>
          <w:rFonts w:hint="eastAsia" w:ascii="Times New Roman" w:hAnsi="Times New Roman"/>
          <w:sz w:val="24"/>
          <w:szCs w:val="24"/>
          <w:lang w:val="en-US" w:eastAsia="zh-CN"/>
        </w:rPr>
        <w:t>28</w:t>
      </w:r>
      <w:r>
        <w:rPr>
          <w:rFonts w:hint="eastAsia" w:ascii="Times New Roman" w:hAnsi="Times New Roman"/>
          <w:sz w:val="24"/>
          <w:szCs w:val="24"/>
        </w:rPr>
        <w:t>日17:00时</w:t>
      </w:r>
    </w:p>
    <w:p>
      <w:pPr>
        <w:widowControl/>
        <w:numPr>
          <w:ilvl w:val="0"/>
          <w:numId w:val="0"/>
        </w:numPr>
        <w:spacing w:line="360" w:lineRule="auto"/>
        <w:ind w:right="0" w:rightChars="0"/>
        <w:rPr>
          <w:rFonts w:hint="eastAsia" w:asciiTheme="minorEastAsia" w:hAnsiTheme="minorEastAsia" w:eastAsiaTheme="minorEastAsia" w:cstheme="minorEastAsia"/>
          <w:sz w:val="24"/>
          <w:szCs w:val="24"/>
        </w:rPr>
      </w:pPr>
      <w:r>
        <w:rPr>
          <w:rFonts w:hint="eastAsia" w:ascii="Times New Roman" w:hAnsi="Times New Roman"/>
          <w:sz w:val="24"/>
          <w:szCs w:val="24"/>
        </w:rPr>
        <w:t>2、获取遴选文件方式：</w:t>
      </w:r>
      <w:r>
        <w:rPr>
          <w:rFonts w:hint="eastAsia" w:asciiTheme="minorEastAsia" w:hAnsiTheme="minorEastAsia" w:eastAsiaTheme="minorEastAsia" w:cstheme="minorEastAsia"/>
          <w:sz w:val="24"/>
          <w:szCs w:val="24"/>
        </w:rPr>
        <w:t>见上海市中医医院官网</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"https://www.szy.sh.cn/" </w:instrText>
      </w:r>
      <w:r>
        <w:rPr>
          <w:rFonts w:hint="eastAsia" w:asciiTheme="minorEastAsia" w:hAnsiTheme="minorEastAsia" w:eastAsiaTheme="minorEastAsia" w:cstheme="minorEastAsia"/>
          <w:sz w:val="24"/>
          <w:szCs w:val="24"/>
          <w:highlight w:val="none"/>
        </w:rPr>
        <w:fldChar w:fldCharType="separate"/>
      </w:r>
      <w:r>
        <w:rPr>
          <w:rStyle w:val="12"/>
          <w:rFonts w:hint="eastAsia" w:asciiTheme="minorEastAsia" w:hAnsiTheme="minorEastAsia" w:eastAsiaTheme="minorEastAsia" w:cstheme="minorEastAsia"/>
          <w:sz w:val="24"/>
          <w:szCs w:val="24"/>
          <w:highlight w:val="none"/>
        </w:rPr>
        <w:t>https://www.szy.sh.cn/</w:t>
      </w:r>
      <w:r>
        <w:rPr>
          <w:rStyle w:val="12"/>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t>）</w:t>
      </w:r>
    </w:p>
    <w:p>
      <w:pPr>
        <w:spacing w:line="360" w:lineRule="auto"/>
        <w:rPr>
          <w:rFonts w:ascii="Times New Roman" w:hAnsi="Times New Roman"/>
          <w:sz w:val="24"/>
          <w:szCs w:val="24"/>
        </w:rPr>
      </w:pPr>
      <w:r>
        <w:rPr>
          <w:rFonts w:hint="eastAsia" w:ascii="Times New Roman" w:hAnsi="Times New Roman"/>
          <w:sz w:val="24"/>
          <w:szCs w:val="24"/>
        </w:rPr>
        <w:t>3、递交遴选响应文件截止时间：202</w:t>
      </w:r>
      <w:r>
        <w:rPr>
          <w:rFonts w:hint="eastAsia" w:ascii="Times New Roman" w:hAnsi="Times New Roman"/>
          <w:sz w:val="24"/>
          <w:szCs w:val="24"/>
          <w:lang w:val="en-US" w:eastAsia="zh-CN"/>
        </w:rPr>
        <w:t>5年4</w:t>
      </w:r>
      <w:r>
        <w:rPr>
          <w:rFonts w:hint="eastAsia" w:ascii="Times New Roman" w:hAnsi="Times New Roman"/>
          <w:sz w:val="24"/>
          <w:szCs w:val="24"/>
        </w:rPr>
        <w:t>月</w:t>
      </w:r>
      <w:r>
        <w:rPr>
          <w:rFonts w:hint="eastAsia" w:ascii="Times New Roman" w:hAnsi="Times New Roman"/>
          <w:sz w:val="24"/>
          <w:szCs w:val="24"/>
          <w:lang w:val="en-US" w:eastAsia="zh-CN"/>
        </w:rPr>
        <w:t>10</w:t>
      </w:r>
      <w:r>
        <w:rPr>
          <w:rFonts w:hint="eastAsia" w:ascii="Times New Roman" w:hAnsi="Times New Roman"/>
          <w:sz w:val="24"/>
          <w:szCs w:val="24"/>
        </w:rPr>
        <w:t>日1</w:t>
      </w:r>
      <w:r>
        <w:rPr>
          <w:rFonts w:hint="eastAsia" w:ascii="Times New Roman" w:hAnsi="Times New Roman"/>
          <w:sz w:val="24"/>
          <w:szCs w:val="24"/>
          <w:lang w:val="en-US" w:eastAsia="zh-CN"/>
        </w:rPr>
        <w:t>4</w:t>
      </w:r>
      <w:bookmarkStart w:id="9" w:name="_GoBack"/>
      <w:bookmarkEnd w:id="9"/>
      <w:r>
        <w:rPr>
          <w:rFonts w:hint="eastAsia" w:ascii="Times New Roman" w:hAnsi="Times New Roman"/>
          <w:sz w:val="24"/>
          <w:szCs w:val="24"/>
        </w:rPr>
        <w:t>:00时。</w:t>
      </w:r>
    </w:p>
    <w:p>
      <w:pPr>
        <w:spacing w:line="360" w:lineRule="auto"/>
        <w:jc w:val="both"/>
        <w:rPr>
          <w:rFonts w:hint="eastAsia" w:asciiTheme="minorEastAsia" w:hAnsiTheme="minorEastAsia" w:eastAsiaTheme="minorEastAsia" w:cstheme="minorEastAsia"/>
          <w:sz w:val="24"/>
          <w:szCs w:val="24"/>
          <w:lang w:val="en-US" w:eastAsia="zh-CN"/>
        </w:rPr>
      </w:pPr>
      <w:r>
        <w:rPr>
          <w:rFonts w:hint="eastAsia" w:ascii="Times New Roman" w:hAnsi="Times New Roman"/>
          <w:sz w:val="24"/>
          <w:szCs w:val="24"/>
        </w:rPr>
        <w:t>4、地址：</w:t>
      </w:r>
      <w:r>
        <w:rPr>
          <w:rFonts w:hint="eastAsia" w:asciiTheme="minorEastAsia" w:hAnsiTheme="minorEastAsia" w:eastAsiaTheme="minorEastAsia" w:cstheme="minorEastAsia"/>
          <w:sz w:val="24"/>
          <w:szCs w:val="24"/>
        </w:rPr>
        <w:t>上海市</w:t>
      </w:r>
      <w:r>
        <w:rPr>
          <w:rFonts w:hint="eastAsia" w:asciiTheme="minorEastAsia" w:hAnsiTheme="minorEastAsia" w:eastAsiaTheme="minorEastAsia" w:cstheme="minorEastAsia"/>
          <w:sz w:val="24"/>
          <w:szCs w:val="24"/>
          <w:lang w:val="en-US" w:eastAsia="zh-CN"/>
        </w:rPr>
        <w:t>嘉定区荣联路68号1号行政楼205采购处</w:t>
      </w:r>
    </w:p>
    <w:p>
      <w:pPr>
        <w:spacing w:line="360" w:lineRule="auto"/>
        <w:rPr>
          <w:rFonts w:ascii="Times New Roman" w:hAnsi="Times New Roman"/>
          <w:sz w:val="24"/>
          <w:szCs w:val="24"/>
        </w:rPr>
      </w:pPr>
      <w:r>
        <w:rPr>
          <w:rFonts w:hint="eastAsia" w:ascii="Times New Roman" w:hAnsi="Times New Roman"/>
          <w:sz w:val="24"/>
          <w:szCs w:val="24"/>
        </w:rPr>
        <w:t>三、采购人信息</w:t>
      </w:r>
    </w:p>
    <w:p>
      <w:pPr>
        <w:spacing w:line="360" w:lineRule="auto"/>
        <w:rPr>
          <w:rFonts w:hint="eastAsia" w:ascii="Times New Roman" w:hAnsi="Times New Roman"/>
          <w:sz w:val="24"/>
          <w:szCs w:val="24"/>
        </w:rPr>
      </w:pPr>
      <w:r>
        <w:rPr>
          <w:rFonts w:hint="eastAsia" w:ascii="Times New Roman" w:hAnsi="Times New Roman"/>
          <w:sz w:val="24"/>
          <w:szCs w:val="24"/>
        </w:rPr>
        <w:t xml:space="preserve">1、联系人：刘琳君   </w:t>
      </w:r>
    </w:p>
    <w:p>
      <w:pPr>
        <w:spacing w:line="360" w:lineRule="auto"/>
        <w:rPr>
          <w:rFonts w:hint="default" w:ascii="Times New Roman" w:hAnsi="Times New Roman" w:eastAsiaTheme="minorEastAsia"/>
          <w:sz w:val="24"/>
          <w:szCs w:val="24"/>
          <w:lang w:val="en-US" w:eastAsia="zh-CN"/>
        </w:rPr>
      </w:pPr>
      <w:r>
        <w:rPr>
          <w:rFonts w:hint="eastAsia" w:ascii="Times New Roman" w:hAnsi="Times New Roman"/>
          <w:sz w:val="24"/>
          <w:szCs w:val="24"/>
        </w:rPr>
        <w:t>2、联系电话：021-56639828-</w:t>
      </w:r>
      <w:r>
        <w:rPr>
          <w:rFonts w:hint="eastAsia" w:ascii="Times New Roman" w:hAnsi="Times New Roman"/>
          <w:sz w:val="24"/>
          <w:szCs w:val="24"/>
          <w:lang w:val="en-US" w:eastAsia="zh-CN"/>
        </w:rPr>
        <w:t>51257</w:t>
      </w:r>
    </w:p>
    <w:p>
      <w:pPr>
        <w:pStyle w:val="9"/>
        <w:pageBreakBefore/>
        <w:spacing w:line="360" w:lineRule="auto"/>
        <w:jc w:val="center"/>
        <w:rPr>
          <w:rFonts w:ascii="Times New Roman" w:hAnsi="Times New Roman"/>
          <w:b/>
          <w:sz w:val="28"/>
          <w:szCs w:val="28"/>
        </w:rPr>
      </w:pPr>
      <w:r>
        <w:rPr>
          <w:rFonts w:hint="eastAsia" w:ascii="Times New Roman" w:hAnsi="Times New Roman"/>
          <w:b/>
          <w:sz w:val="28"/>
          <w:szCs w:val="28"/>
        </w:rPr>
        <w:t>第二章 遴选要求</w:t>
      </w:r>
    </w:p>
    <w:p>
      <w:p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rPr>
        <w:t>接受</w:t>
      </w:r>
      <w:r>
        <w:rPr>
          <w:rFonts w:hint="eastAsia" w:ascii="宋体" w:hAnsi="宋体"/>
          <w:sz w:val="24"/>
          <w:szCs w:val="24"/>
          <w:lang w:val="en-US" w:eastAsia="zh-CN"/>
        </w:rPr>
        <w:t>上海市中医医院</w:t>
      </w:r>
      <w:r>
        <w:rPr>
          <w:rFonts w:hint="eastAsia" w:ascii="宋体" w:hAnsi="宋体"/>
          <w:sz w:val="24"/>
          <w:szCs w:val="24"/>
        </w:rPr>
        <w:t>委托，对以下（包括但不限于）各环节内容按</w:t>
      </w:r>
      <w:r>
        <w:rPr>
          <w:rFonts w:hint="eastAsia" w:ascii="宋体" w:hAnsi="宋体"/>
          <w:sz w:val="24"/>
          <w:szCs w:val="24"/>
          <w:lang w:val="en-US" w:eastAsia="zh-CN"/>
        </w:rPr>
        <w:t>委托人</w:t>
      </w:r>
      <w:r>
        <w:rPr>
          <w:rFonts w:hint="eastAsia" w:ascii="宋体" w:hAnsi="宋体"/>
          <w:sz w:val="24"/>
          <w:szCs w:val="24"/>
        </w:rPr>
        <w:t>要求做好</w:t>
      </w:r>
      <w:r>
        <w:rPr>
          <w:rFonts w:hint="eastAsia" w:ascii="宋体" w:hAnsi="宋体"/>
          <w:sz w:val="24"/>
          <w:szCs w:val="24"/>
          <w:lang w:eastAsia="zh-CN"/>
        </w:rPr>
        <w:t>招标</w:t>
      </w:r>
      <w:r>
        <w:rPr>
          <w:rFonts w:hint="eastAsia" w:ascii="宋体" w:hAnsi="宋体"/>
          <w:sz w:val="24"/>
          <w:szCs w:val="24"/>
        </w:rPr>
        <w:t>工作。</w:t>
      </w:r>
    </w:p>
    <w:p>
      <w:pPr>
        <w:numPr>
          <w:ilvl w:val="0"/>
          <w:numId w:val="1"/>
        </w:numPr>
        <w:spacing w:line="360" w:lineRule="auto"/>
        <w:rPr>
          <w:rFonts w:hint="eastAsia" w:ascii="宋体" w:hAnsi="宋体" w:cs="宋体"/>
          <w:sz w:val="24"/>
          <w:szCs w:val="24"/>
        </w:rPr>
      </w:pPr>
      <w:r>
        <w:rPr>
          <w:rFonts w:hint="eastAsia" w:ascii="宋体" w:hAnsi="宋体" w:cs="宋体"/>
          <w:sz w:val="24"/>
          <w:szCs w:val="24"/>
        </w:rPr>
        <w:t>依据项目特点和实际管理要求，组建由专业人员组成的招标项目组。</w:t>
      </w:r>
    </w:p>
    <w:p>
      <w:pPr>
        <w:numPr>
          <w:ilvl w:val="0"/>
          <w:numId w:val="1"/>
        </w:numPr>
        <w:spacing w:line="360" w:lineRule="auto"/>
        <w:rPr>
          <w:rFonts w:hint="eastAsia" w:ascii="宋体" w:hAnsi="宋体" w:cs="宋体"/>
          <w:sz w:val="24"/>
          <w:szCs w:val="24"/>
        </w:rPr>
      </w:pPr>
      <w:r>
        <w:rPr>
          <w:rFonts w:hint="eastAsia" w:ascii="宋体" w:hAnsi="宋体" w:cs="宋体"/>
          <w:sz w:val="24"/>
          <w:szCs w:val="24"/>
        </w:rPr>
        <w:t>协助办理与</w:t>
      </w:r>
      <w:r>
        <w:rPr>
          <w:rFonts w:hint="eastAsia" w:ascii="宋体" w:hAnsi="宋体" w:cs="宋体"/>
          <w:sz w:val="24"/>
          <w:szCs w:val="24"/>
          <w:lang w:eastAsia="zh-CN"/>
        </w:rPr>
        <w:t>招标</w:t>
      </w:r>
      <w:r>
        <w:rPr>
          <w:rFonts w:hint="eastAsia" w:ascii="宋体" w:hAnsi="宋体" w:cs="宋体"/>
          <w:sz w:val="24"/>
          <w:szCs w:val="24"/>
        </w:rPr>
        <w:t>项目相关的报批手续，包括办理变更</w:t>
      </w:r>
      <w:r>
        <w:rPr>
          <w:rFonts w:hint="eastAsia" w:ascii="宋体" w:hAnsi="宋体" w:cs="宋体"/>
          <w:sz w:val="24"/>
          <w:szCs w:val="24"/>
          <w:lang w:eastAsia="zh-CN"/>
        </w:rPr>
        <w:t>招标</w:t>
      </w:r>
      <w:r>
        <w:rPr>
          <w:rFonts w:hint="eastAsia" w:ascii="宋体" w:hAnsi="宋体" w:cs="宋体"/>
          <w:sz w:val="24"/>
          <w:szCs w:val="24"/>
        </w:rPr>
        <w:t>方式的报批申请、手续资料办理等。</w:t>
      </w:r>
    </w:p>
    <w:p>
      <w:pPr>
        <w:numPr>
          <w:ilvl w:val="0"/>
          <w:numId w:val="1"/>
        </w:numPr>
        <w:spacing w:line="360" w:lineRule="auto"/>
        <w:rPr>
          <w:rFonts w:hint="eastAsia" w:ascii="宋体" w:hAnsi="宋体" w:cs="宋体"/>
          <w:sz w:val="24"/>
          <w:szCs w:val="24"/>
        </w:rPr>
      </w:pPr>
      <w:r>
        <w:rPr>
          <w:rFonts w:hint="eastAsia" w:ascii="宋体" w:hAnsi="宋体" w:cs="宋体"/>
          <w:sz w:val="24"/>
          <w:szCs w:val="24"/>
        </w:rPr>
        <w:t>协助编制完善需求文件，提供有效、准确的市场信息，提示存在的缺陷，根据需求组织询标会，确保需求文件的完整、准确、合规。</w:t>
      </w:r>
    </w:p>
    <w:p>
      <w:pPr>
        <w:numPr>
          <w:ilvl w:val="0"/>
          <w:numId w:val="1"/>
        </w:numPr>
        <w:spacing w:line="360" w:lineRule="auto"/>
        <w:rPr>
          <w:rFonts w:hint="eastAsia" w:ascii="宋体" w:hAnsi="宋体" w:cs="宋体"/>
          <w:sz w:val="24"/>
          <w:szCs w:val="24"/>
        </w:rPr>
      </w:pPr>
      <w:r>
        <w:rPr>
          <w:rFonts w:hint="eastAsia" w:ascii="宋体" w:hAnsi="宋体" w:cs="宋体"/>
          <w:sz w:val="24"/>
          <w:szCs w:val="24"/>
        </w:rPr>
        <w:t>编制采购策划方案和采购文件，依法做好投标人资格审查，分析采购过程中可能遇到的违反政策、影响质量、效益、效率等的风险，提出防范预案。</w:t>
      </w:r>
    </w:p>
    <w:p>
      <w:pPr>
        <w:numPr>
          <w:ilvl w:val="0"/>
          <w:numId w:val="1"/>
        </w:numPr>
        <w:spacing w:line="360" w:lineRule="auto"/>
        <w:rPr>
          <w:rFonts w:hint="eastAsia" w:ascii="宋体" w:hAnsi="宋体" w:cs="宋体"/>
          <w:sz w:val="24"/>
          <w:szCs w:val="24"/>
        </w:rPr>
      </w:pPr>
      <w:r>
        <w:rPr>
          <w:rFonts w:hint="eastAsia" w:ascii="宋体" w:hAnsi="宋体"/>
          <w:sz w:val="24"/>
          <w:szCs w:val="24"/>
        </w:rPr>
        <w:t>凭借代理单位自身优势，为委托人提供项目业绩参考。</w:t>
      </w:r>
    </w:p>
    <w:p>
      <w:pPr>
        <w:numPr>
          <w:ilvl w:val="0"/>
          <w:numId w:val="1"/>
        </w:numPr>
        <w:spacing w:line="360" w:lineRule="auto"/>
        <w:rPr>
          <w:rFonts w:hint="eastAsia" w:ascii="宋体" w:hAnsi="宋体" w:cs="宋体"/>
          <w:sz w:val="24"/>
          <w:szCs w:val="24"/>
        </w:rPr>
      </w:pPr>
      <w:r>
        <w:rPr>
          <w:rFonts w:hint="eastAsia" w:ascii="宋体" w:hAnsi="宋体" w:cs="宋体"/>
          <w:sz w:val="24"/>
          <w:szCs w:val="24"/>
        </w:rPr>
        <w:t>编制</w:t>
      </w:r>
      <w:r>
        <w:rPr>
          <w:rFonts w:hint="eastAsia" w:ascii="宋体" w:hAnsi="宋体" w:cs="宋体"/>
          <w:sz w:val="24"/>
          <w:szCs w:val="24"/>
          <w:lang w:val="en-US" w:eastAsia="zh-CN"/>
        </w:rPr>
        <w:t>招标</w:t>
      </w:r>
      <w:r>
        <w:rPr>
          <w:rFonts w:hint="eastAsia" w:ascii="宋体" w:hAnsi="宋体" w:cs="宋体"/>
          <w:sz w:val="24"/>
          <w:szCs w:val="24"/>
        </w:rPr>
        <w:t>策划方案和</w:t>
      </w:r>
      <w:r>
        <w:rPr>
          <w:rFonts w:hint="eastAsia" w:ascii="宋体" w:hAnsi="宋体" w:cs="宋体"/>
          <w:sz w:val="24"/>
          <w:szCs w:val="24"/>
          <w:lang w:eastAsia="zh-CN"/>
        </w:rPr>
        <w:t>招标文件</w:t>
      </w:r>
      <w:r>
        <w:rPr>
          <w:rFonts w:hint="eastAsia" w:ascii="宋体" w:hAnsi="宋体" w:cs="宋体"/>
          <w:sz w:val="24"/>
          <w:szCs w:val="24"/>
        </w:rPr>
        <w:t>，分析</w:t>
      </w:r>
      <w:r>
        <w:rPr>
          <w:rFonts w:hint="eastAsia" w:ascii="宋体" w:hAnsi="宋体" w:cs="宋体"/>
          <w:sz w:val="24"/>
          <w:szCs w:val="24"/>
          <w:lang w:eastAsia="zh-CN"/>
        </w:rPr>
        <w:t>招标</w:t>
      </w:r>
      <w:r>
        <w:rPr>
          <w:rFonts w:hint="eastAsia" w:ascii="宋体" w:hAnsi="宋体" w:cs="宋体"/>
          <w:sz w:val="24"/>
          <w:szCs w:val="24"/>
        </w:rPr>
        <w:t>过程中可能遇到的违反政策、影响质量、效益、效率等的风险，提出防范预案。</w:t>
      </w:r>
    </w:p>
    <w:p>
      <w:pPr>
        <w:numPr>
          <w:ilvl w:val="0"/>
          <w:numId w:val="1"/>
        </w:numPr>
        <w:spacing w:line="360" w:lineRule="auto"/>
        <w:rPr>
          <w:rFonts w:hint="eastAsia" w:ascii="宋体" w:hAnsi="宋体" w:cs="宋体"/>
          <w:sz w:val="24"/>
          <w:szCs w:val="24"/>
        </w:rPr>
      </w:pPr>
      <w:r>
        <w:rPr>
          <w:rFonts w:hint="eastAsia" w:ascii="宋体" w:hAnsi="宋体" w:cs="宋体"/>
          <w:sz w:val="24"/>
          <w:szCs w:val="24"/>
        </w:rPr>
        <w:t>如有需要，协助</w:t>
      </w:r>
      <w:r>
        <w:rPr>
          <w:rFonts w:hint="eastAsia" w:ascii="宋体" w:hAnsi="宋体" w:cs="宋体"/>
          <w:sz w:val="24"/>
          <w:szCs w:val="24"/>
          <w:lang w:val="en-US" w:eastAsia="zh-CN"/>
        </w:rPr>
        <w:t>委托</w:t>
      </w:r>
      <w:r>
        <w:rPr>
          <w:rFonts w:hint="eastAsia" w:ascii="宋体" w:hAnsi="宋体" w:cs="宋体"/>
          <w:sz w:val="24"/>
          <w:szCs w:val="24"/>
          <w:lang w:eastAsia="zh-CN"/>
        </w:rPr>
        <w:t>人</w:t>
      </w:r>
      <w:r>
        <w:rPr>
          <w:rFonts w:hint="eastAsia" w:ascii="宋体" w:hAnsi="宋体" w:cs="宋体"/>
          <w:sz w:val="24"/>
          <w:szCs w:val="24"/>
        </w:rPr>
        <w:t>编制</w:t>
      </w:r>
      <w:r>
        <w:rPr>
          <w:rFonts w:hint="eastAsia" w:ascii="宋体" w:hAnsi="宋体" w:cs="宋体"/>
          <w:sz w:val="24"/>
          <w:szCs w:val="24"/>
          <w:lang w:eastAsia="zh-CN"/>
        </w:rPr>
        <w:t>招标文件</w:t>
      </w:r>
      <w:r>
        <w:rPr>
          <w:rFonts w:hint="eastAsia" w:ascii="宋体" w:hAnsi="宋体" w:cs="宋体"/>
          <w:sz w:val="24"/>
          <w:szCs w:val="24"/>
        </w:rPr>
        <w:t>技术需求、回标分析及其他相关要求提供技术支持，包括但不限于抽取技术专家提供技术咨询、组织技术咨询会等。</w:t>
      </w:r>
    </w:p>
    <w:p>
      <w:pPr>
        <w:spacing w:line="360" w:lineRule="auto"/>
        <w:ind w:firstLine="360" w:firstLineChars="150"/>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、在法定网站上发布采招信息。</w:t>
      </w:r>
    </w:p>
    <w:p>
      <w:pPr>
        <w:spacing w:line="360" w:lineRule="auto"/>
        <w:ind w:firstLine="360" w:firstLineChars="150"/>
        <w:rPr>
          <w:rFonts w:hint="eastAsia"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、按程序规范组织踏勘、开标、评标、发布公告等活动。</w:t>
      </w:r>
    </w:p>
    <w:p>
      <w:pPr>
        <w:spacing w:line="360" w:lineRule="auto"/>
        <w:ind w:firstLine="360" w:firstLineChars="150"/>
        <w:rPr>
          <w:rFonts w:hint="eastAsia"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、根据需要协助组织合同签约，协助履约管理部门合同履约过程中的相关工作。</w:t>
      </w:r>
    </w:p>
    <w:p>
      <w:pPr>
        <w:spacing w:line="360" w:lineRule="auto"/>
        <w:ind w:firstLine="360" w:firstLineChars="150"/>
        <w:rPr>
          <w:rFonts w:hint="eastAsia" w:ascii="宋体" w:hAnsi="宋体" w:cs="宋体"/>
          <w:sz w:val="24"/>
          <w:szCs w:val="24"/>
        </w:rPr>
      </w:pPr>
      <w:r>
        <w:rPr>
          <w:rFonts w:hint="eastAsia" w:ascii="宋体" w:hAnsi="宋体" w:cs="宋体"/>
          <w:sz w:val="24"/>
          <w:szCs w:val="24"/>
          <w:lang w:val="en-US" w:eastAsia="zh-CN"/>
        </w:rPr>
        <w:t>11</w:t>
      </w:r>
      <w:r>
        <w:rPr>
          <w:rFonts w:hint="eastAsia" w:ascii="宋体" w:hAnsi="宋体" w:cs="宋体"/>
          <w:sz w:val="24"/>
          <w:szCs w:val="24"/>
        </w:rPr>
        <w:t>、具有健全的档案管理制度。对采购项目每项采购活动的采购文件妥善保存。按照采购人的存档要求在采购项目结束后及时完成采购文件的整理和移交。</w:t>
      </w:r>
    </w:p>
    <w:p>
      <w:pPr>
        <w:spacing w:line="360" w:lineRule="auto"/>
        <w:ind w:firstLine="360" w:firstLineChars="150"/>
        <w:rPr>
          <w:rFonts w:hint="eastAsia" w:ascii="宋体" w:hAnsi="宋体" w:cs="宋体"/>
          <w:sz w:val="24"/>
          <w:szCs w:val="24"/>
        </w:rPr>
      </w:pPr>
      <w:r>
        <w:rPr>
          <w:rFonts w:hint="eastAsia" w:ascii="宋体" w:hAnsi="宋体" w:cs="宋体"/>
          <w:sz w:val="24"/>
          <w:szCs w:val="24"/>
          <w:lang w:val="en-US" w:eastAsia="zh-CN"/>
        </w:rPr>
        <w:t>12</w:t>
      </w:r>
      <w:r>
        <w:rPr>
          <w:rFonts w:hint="eastAsia" w:ascii="宋体" w:hAnsi="宋体" w:cs="宋体"/>
          <w:sz w:val="24"/>
          <w:szCs w:val="24"/>
        </w:rPr>
        <w:t>、具有健全的质疑与投诉处理机制。对采购项目中出现的质疑与投诉，妥善回复和处理。</w:t>
      </w:r>
    </w:p>
    <w:p>
      <w:pPr>
        <w:spacing w:line="360" w:lineRule="auto"/>
        <w:ind w:firstLine="360" w:firstLineChars="150"/>
        <w:rPr>
          <w:rFonts w:hint="eastAsia"/>
          <w:sz w:val="24"/>
        </w:rPr>
      </w:pPr>
      <w:r>
        <w:rPr>
          <w:rFonts w:hint="eastAsia" w:ascii="宋体" w:hAnsi="宋体" w:cs="宋体"/>
          <w:sz w:val="24"/>
          <w:szCs w:val="24"/>
          <w:lang w:val="en-US" w:eastAsia="zh-CN"/>
        </w:rPr>
        <w:t>13</w:t>
      </w:r>
      <w:r>
        <w:rPr>
          <w:rFonts w:hint="eastAsia" w:ascii="宋体" w:hAnsi="宋体" w:cs="宋体"/>
          <w:sz w:val="24"/>
          <w:szCs w:val="24"/>
        </w:rPr>
        <w:t>、</w:t>
      </w:r>
      <w:r>
        <w:rPr>
          <w:rFonts w:hint="eastAsia"/>
          <w:sz w:val="24"/>
        </w:rPr>
        <w:t>承诺配合医院招采、纪检、审计等管理要求，按照要求提供相关查询报告，定期按医院要求完成受托项目采购执行情况汇总表及报告。（投标时提供相关汇总表及报告样张模板，相关内容至少包含附表内容）</w:t>
      </w:r>
    </w:p>
    <w:p>
      <w:pPr>
        <w:spacing w:line="360" w:lineRule="auto"/>
        <w:ind w:firstLine="360" w:firstLineChars="150"/>
        <w:rPr>
          <w:rFonts w:hint="eastAsia"/>
          <w:sz w:val="24"/>
        </w:rPr>
      </w:pPr>
      <w:r>
        <w:rPr>
          <w:rFonts w:hint="eastAsia" w:ascii="宋体" w:hAnsi="宋体" w:cs="宋体"/>
          <w:sz w:val="24"/>
          <w:szCs w:val="24"/>
        </w:rPr>
        <w:t>1</w:t>
      </w:r>
      <w:r>
        <w:rPr>
          <w:rFonts w:hint="eastAsia" w:ascii="宋体" w:hAnsi="宋体" w:cs="宋体"/>
          <w:sz w:val="24"/>
          <w:szCs w:val="24"/>
          <w:lang w:val="en-US" w:eastAsia="zh-CN"/>
        </w:rPr>
        <w:t>4</w:t>
      </w:r>
      <w:r>
        <w:rPr>
          <w:rFonts w:hint="eastAsia"/>
          <w:sz w:val="24"/>
        </w:rPr>
        <w:t>、政府采购</w:t>
      </w:r>
      <w:r>
        <w:rPr>
          <w:sz w:val="24"/>
        </w:rPr>
        <w:t>相关</w:t>
      </w:r>
      <w:r>
        <w:rPr>
          <w:rFonts w:hint="eastAsia"/>
          <w:sz w:val="24"/>
        </w:rPr>
        <w:t>法律法规及</w:t>
      </w:r>
      <w:r>
        <w:rPr>
          <w:sz w:val="24"/>
        </w:rPr>
        <w:t>规章制度</w:t>
      </w:r>
      <w:r>
        <w:rPr>
          <w:rFonts w:hint="eastAsia"/>
          <w:sz w:val="24"/>
        </w:rPr>
        <w:t>规定的其他事项。</w:t>
      </w:r>
    </w:p>
    <w:p>
      <w:pPr>
        <w:pStyle w:val="5"/>
        <w:numPr>
          <w:ilvl w:val="0"/>
          <w:numId w:val="2"/>
        </w:numPr>
        <w:spacing w:line="360" w:lineRule="auto"/>
        <w:ind w:left="0" w:leftChars="0" w:firstLine="420" w:firstLineChars="0"/>
        <w:rPr>
          <w:rFonts w:hint="eastAsia"/>
          <w:b/>
          <w:bCs/>
          <w:sz w:val="24"/>
          <w:lang w:val="en-US" w:eastAsia="zh-CN"/>
        </w:rPr>
      </w:pPr>
      <w:r>
        <w:rPr>
          <w:rFonts w:hint="eastAsia"/>
          <w:b/>
          <w:bCs/>
          <w:sz w:val="24"/>
          <w:lang w:val="en-US" w:eastAsia="zh-CN"/>
        </w:rPr>
        <w:t>服务团队要求</w:t>
      </w:r>
    </w:p>
    <w:p>
      <w:pPr>
        <w:spacing w:line="360" w:lineRule="auto"/>
        <w:ind w:firstLine="480" w:firstLineChars="200"/>
        <w:rPr>
          <w:rFonts w:hint="eastAsia" w:ascii="宋体" w:hAnsi="宋体"/>
          <w:sz w:val="24"/>
          <w:szCs w:val="24"/>
        </w:rPr>
      </w:pPr>
      <w:r>
        <w:rPr>
          <w:rFonts w:hint="eastAsia" w:ascii="宋体" w:hAnsi="宋体"/>
          <w:sz w:val="24"/>
          <w:szCs w:val="24"/>
        </w:rPr>
        <w:t>1、项目负责人（经理）应具有5年以上招标代理工作经历，且为投标单位本单位人员。</w:t>
      </w:r>
    </w:p>
    <w:p>
      <w:pPr>
        <w:spacing w:line="360" w:lineRule="auto"/>
        <w:ind w:firstLine="480" w:firstLineChars="200"/>
        <w:rPr>
          <w:rFonts w:hint="eastAsia" w:ascii="宋体" w:hAnsi="宋体"/>
          <w:sz w:val="24"/>
          <w:szCs w:val="24"/>
        </w:rPr>
      </w:pPr>
      <w:r>
        <w:rPr>
          <w:rFonts w:hint="eastAsia" w:ascii="宋体" w:hAnsi="宋体"/>
          <w:sz w:val="24"/>
          <w:szCs w:val="24"/>
        </w:rPr>
        <w:t>2、项目组成员结构合理、具有承担项目的业务能力和良好素质，人员队伍稳定等，项目组主要成员须具有2年及以上相关工作经历。</w:t>
      </w:r>
    </w:p>
    <w:p>
      <w:pPr>
        <w:spacing w:line="360" w:lineRule="auto"/>
        <w:ind w:firstLine="480" w:firstLineChars="200"/>
        <w:rPr>
          <w:rFonts w:hint="default"/>
          <w:sz w:val="24"/>
          <w:lang w:val="en-US" w:eastAsia="zh-CN"/>
        </w:rPr>
      </w:pPr>
      <w:r>
        <w:rPr>
          <w:rFonts w:hint="eastAsia" w:ascii="宋体" w:hAnsi="宋体" w:cs="宋体"/>
          <w:sz w:val="24"/>
          <w:szCs w:val="24"/>
        </w:rPr>
        <w:t>3、项目组成员不少于4人。</w:t>
      </w:r>
    </w:p>
    <w:p>
      <w:pPr>
        <w:numPr>
          <w:ilvl w:val="0"/>
          <w:numId w:val="2"/>
        </w:numPr>
        <w:spacing w:line="360" w:lineRule="auto"/>
        <w:ind w:left="0" w:leftChars="0" w:firstLine="420" w:firstLineChars="0"/>
        <w:rPr>
          <w:rFonts w:hint="eastAsia" w:ascii="宋体" w:hAnsi="宋体"/>
          <w:b/>
          <w:bCs/>
          <w:color w:val="000000"/>
          <w:sz w:val="24"/>
        </w:rPr>
      </w:pPr>
      <w:r>
        <w:rPr>
          <w:rFonts w:hint="eastAsia" w:ascii="宋体" w:hAnsi="宋体"/>
          <w:b/>
          <w:bCs/>
          <w:color w:val="000000"/>
          <w:sz w:val="24"/>
        </w:rPr>
        <w:t>委托</w:t>
      </w:r>
      <w:r>
        <w:rPr>
          <w:rFonts w:hint="eastAsia" w:ascii="宋体" w:hAnsi="宋体"/>
          <w:b/>
          <w:bCs/>
          <w:color w:val="000000"/>
          <w:sz w:val="24"/>
          <w:lang w:val="en-US" w:eastAsia="zh-CN"/>
        </w:rPr>
        <w:t>招标</w:t>
      </w:r>
      <w:r>
        <w:rPr>
          <w:rFonts w:hint="eastAsia" w:ascii="宋体" w:hAnsi="宋体"/>
          <w:b/>
          <w:bCs/>
          <w:color w:val="000000"/>
          <w:sz w:val="24"/>
        </w:rPr>
        <w:t>代理项目的资金来源及招标方式</w:t>
      </w:r>
    </w:p>
    <w:p>
      <w:pPr>
        <w:numPr>
          <w:ilvl w:val="0"/>
          <w:numId w:val="3"/>
        </w:numPr>
        <w:spacing w:line="360" w:lineRule="auto"/>
        <w:ind w:left="420" w:leftChars="0" w:firstLineChars="0"/>
        <w:rPr>
          <w:rFonts w:hint="eastAsia" w:ascii="宋体" w:hAnsi="宋体"/>
          <w:color w:val="000000"/>
          <w:sz w:val="24"/>
          <w:szCs w:val="24"/>
          <w:highlight w:val="none"/>
        </w:rPr>
      </w:pPr>
      <w:r>
        <w:rPr>
          <w:rFonts w:hint="eastAsia" w:ascii="宋体" w:hAnsi="宋体"/>
          <w:color w:val="000000"/>
          <w:sz w:val="24"/>
          <w:szCs w:val="24"/>
          <w:highlight w:val="none"/>
        </w:rPr>
        <w:t>资金来源：</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医院</w:t>
      </w:r>
      <w:r>
        <w:rPr>
          <w:rFonts w:hint="eastAsia" w:ascii="宋体" w:hAnsi="宋体"/>
          <w:color w:val="000000"/>
          <w:sz w:val="24"/>
          <w:szCs w:val="24"/>
          <w:highlight w:val="none"/>
          <w:u w:val="single"/>
        </w:rPr>
        <w:t>自筹资金</w:t>
      </w:r>
      <w:r>
        <w:rPr>
          <w:rFonts w:hint="eastAsia" w:ascii="宋体" w:hAnsi="宋体"/>
          <w:color w:val="000000"/>
          <w:sz w:val="24"/>
          <w:szCs w:val="24"/>
          <w:highlight w:val="none"/>
          <w:u w:val="single"/>
          <w:lang w:eastAsia="zh-CN"/>
        </w:rPr>
        <w:t>、</w:t>
      </w:r>
      <w:r>
        <w:rPr>
          <w:rFonts w:hint="eastAsia" w:ascii="宋体" w:hAnsi="宋体"/>
          <w:color w:val="000000"/>
          <w:sz w:val="24"/>
          <w:szCs w:val="24"/>
          <w:highlight w:val="none"/>
          <w:u w:val="single"/>
          <w:lang w:val="en-US" w:eastAsia="zh-CN"/>
        </w:rPr>
        <w:t>财政性资金</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w:t>
      </w:r>
    </w:p>
    <w:p>
      <w:pPr>
        <w:numPr>
          <w:ilvl w:val="0"/>
          <w:numId w:val="3"/>
        </w:numPr>
        <w:spacing w:line="360" w:lineRule="auto"/>
        <w:ind w:left="420" w:leftChars="0" w:firstLineChars="0"/>
        <w:rPr>
          <w:rFonts w:hint="eastAsia" w:ascii="宋体" w:hAnsi="宋体"/>
          <w:color w:val="000000"/>
          <w:sz w:val="24"/>
          <w:szCs w:val="24"/>
          <w:highlight w:val="none"/>
          <w:u w:val="single"/>
        </w:rPr>
      </w:pPr>
      <w:r>
        <w:rPr>
          <w:rFonts w:hint="eastAsia" w:ascii="宋体" w:hAnsi="宋体"/>
          <w:color w:val="000000"/>
          <w:sz w:val="24"/>
          <w:szCs w:val="24"/>
          <w:highlight w:val="none"/>
          <w:u w:val="single"/>
        </w:rPr>
        <w:t>招标方式：  公开招标、竞争性磋商、竞争性谈判</w:t>
      </w:r>
      <w:r>
        <w:rPr>
          <w:rFonts w:hint="eastAsia" w:ascii="宋体" w:hAnsi="宋体"/>
          <w:color w:val="000000"/>
          <w:sz w:val="24"/>
          <w:szCs w:val="24"/>
          <w:highlight w:val="none"/>
          <w:u w:val="single"/>
          <w:lang w:eastAsia="zh-CN"/>
        </w:rPr>
        <w:t>、</w:t>
      </w:r>
      <w:r>
        <w:rPr>
          <w:rFonts w:hint="eastAsia"/>
          <w:sz w:val="24"/>
          <w:szCs w:val="24"/>
          <w:highlight w:val="none"/>
          <w:u w:val="single"/>
        </w:rPr>
        <w:t>询价</w:t>
      </w:r>
      <w:r>
        <w:rPr>
          <w:rFonts w:hint="eastAsia"/>
          <w:sz w:val="24"/>
          <w:szCs w:val="24"/>
          <w:highlight w:val="none"/>
          <w:u w:val="single"/>
          <w:lang w:eastAsia="zh-CN"/>
        </w:rPr>
        <w:t>招标</w:t>
      </w:r>
      <w:r>
        <w:rPr>
          <w:rFonts w:hint="eastAsia"/>
          <w:sz w:val="24"/>
          <w:szCs w:val="24"/>
          <w:highlight w:val="none"/>
          <w:u w:val="single"/>
        </w:rPr>
        <w:t>及单一来源</w:t>
      </w:r>
      <w:r>
        <w:rPr>
          <w:rFonts w:hint="eastAsia"/>
          <w:sz w:val="24"/>
          <w:szCs w:val="24"/>
          <w:highlight w:val="none"/>
          <w:u w:val="single"/>
          <w:lang w:val="en-US" w:eastAsia="zh-CN"/>
        </w:rPr>
        <w:t>采购</w:t>
      </w:r>
      <w:r>
        <w:rPr>
          <w:rFonts w:hint="eastAsia" w:ascii="宋体" w:hAnsi="宋体"/>
          <w:color w:val="000000"/>
          <w:sz w:val="24"/>
          <w:szCs w:val="24"/>
          <w:highlight w:val="none"/>
          <w:u w:val="single"/>
        </w:rPr>
        <w:t xml:space="preserve">  。</w:t>
      </w:r>
    </w:p>
    <w:p>
      <w:pPr>
        <w:numPr>
          <w:ilvl w:val="0"/>
          <w:numId w:val="3"/>
        </w:numPr>
        <w:spacing w:line="360" w:lineRule="auto"/>
        <w:ind w:left="420" w:leftChars="0" w:firstLineChars="0"/>
        <w:rPr>
          <w:rFonts w:hint="eastAsia" w:ascii="宋体" w:hAnsi="宋体"/>
          <w:color w:val="000000"/>
          <w:sz w:val="24"/>
          <w:szCs w:val="24"/>
          <w:highlight w:val="none"/>
          <w:u w:val="single"/>
        </w:rPr>
      </w:pPr>
      <w:r>
        <w:rPr>
          <w:rFonts w:hint="eastAsia" w:ascii="宋体" w:hAnsi="宋体"/>
          <w:color w:val="000000"/>
          <w:sz w:val="24"/>
          <w:szCs w:val="24"/>
          <w:highlight w:val="none"/>
          <w:u w:val="single"/>
          <w:lang w:val="en-US" w:eastAsia="zh-CN"/>
        </w:rPr>
        <w:t>招标代理服务费支付单位：项目中标单位。</w:t>
      </w:r>
    </w:p>
    <w:p>
      <w:pPr>
        <w:numPr>
          <w:ilvl w:val="0"/>
          <w:numId w:val="2"/>
        </w:numPr>
        <w:spacing w:line="360" w:lineRule="auto"/>
        <w:ind w:left="0" w:leftChars="0" w:firstLine="420" w:firstLineChars="0"/>
        <w:rPr>
          <w:rFonts w:hint="eastAsia" w:ascii="宋体" w:hAnsi="宋体"/>
          <w:b/>
          <w:sz w:val="24"/>
          <w:szCs w:val="24"/>
        </w:rPr>
      </w:pPr>
      <w:r>
        <w:rPr>
          <w:rFonts w:hint="eastAsia" w:ascii="宋体" w:hAnsi="宋体"/>
          <w:b/>
          <w:sz w:val="24"/>
          <w:szCs w:val="24"/>
          <w:lang w:eastAsia="zh-CN"/>
        </w:rPr>
        <w:t>比选</w:t>
      </w:r>
      <w:r>
        <w:rPr>
          <w:rFonts w:hint="eastAsia" w:ascii="宋体" w:hAnsi="宋体"/>
          <w:b/>
          <w:sz w:val="24"/>
          <w:szCs w:val="24"/>
        </w:rPr>
        <w:t>响应文件要求</w:t>
      </w:r>
    </w:p>
    <w:p>
      <w:pPr>
        <w:numPr>
          <w:ilvl w:val="0"/>
          <w:numId w:val="4"/>
        </w:numPr>
        <w:spacing w:line="360" w:lineRule="auto"/>
        <w:ind w:left="425" w:leftChars="0" w:hanging="425" w:firstLineChars="0"/>
        <w:rPr>
          <w:rFonts w:hint="eastAsia" w:ascii="宋体" w:hAnsi="宋体"/>
          <w:sz w:val="24"/>
          <w:szCs w:val="24"/>
        </w:rPr>
      </w:pPr>
      <w:r>
        <w:rPr>
          <w:rFonts w:hint="eastAsia" w:ascii="宋体" w:hAnsi="宋体"/>
          <w:sz w:val="24"/>
          <w:szCs w:val="24"/>
        </w:rPr>
        <w:t>招标代理机构提交的</w:t>
      </w:r>
      <w:r>
        <w:rPr>
          <w:rFonts w:hint="eastAsia" w:ascii="宋体" w:hAnsi="宋体"/>
          <w:sz w:val="24"/>
          <w:szCs w:val="24"/>
          <w:lang w:eastAsia="zh-CN"/>
        </w:rPr>
        <w:t>比选</w:t>
      </w:r>
      <w:r>
        <w:rPr>
          <w:rFonts w:hint="eastAsia" w:ascii="宋体" w:hAnsi="宋体"/>
          <w:sz w:val="24"/>
          <w:szCs w:val="24"/>
        </w:rPr>
        <w:t>响应文件包含但不限于下述资料：</w:t>
      </w:r>
    </w:p>
    <w:p>
      <w:pPr>
        <w:numPr>
          <w:ilvl w:val="0"/>
          <w:numId w:val="4"/>
        </w:numPr>
        <w:adjustRightInd w:val="0"/>
        <w:snapToGrid w:val="0"/>
        <w:spacing w:line="360" w:lineRule="auto"/>
        <w:ind w:left="425" w:leftChars="0" w:hanging="425" w:firstLineChars="0"/>
        <w:rPr>
          <w:rFonts w:hint="eastAsia" w:ascii="宋体" w:hAnsi="宋体"/>
          <w:sz w:val="24"/>
          <w:szCs w:val="24"/>
        </w:rPr>
      </w:pPr>
      <w:r>
        <w:rPr>
          <w:rFonts w:hint="eastAsia" w:ascii="宋体" w:hAnsi="宋体"/>
          <w:sz w:val="24"/>
          <w:szCs w:val="24"/>
        </w:rPr>
        <w:t>资格证明材料（提供复印件加盖公章）</w:t>
      </w:r>
    </w:p>
    <w:p>
      <w:pPr>
        <w:numPr>
          <w:ilvl w:val="0"/>
          <w:numId w:val="4"/>
        </w:numPr>
        <w:spacing w:line="360" w:lineRule="auto"/>
        <w:ind w:left="425" w:leftChars="0" w:hanging="425" w:firstLineChars="0"/>
        <w:rPr>
          <w:rFonts w:hint="eastAsia" w:ascii="宋体" w:hAnsi="宋体" w:cs="Arial"/>
          <w:sz w:val="24"/>
          <w:szCs w:val="24"/>
        </w:rPr>
      </w:pPr>
      <w:r>
        <w:rPr>
          <w:rFonts w:hint="eastAsia" w:ascii="宋体" w:hAnsi="宋体"/>
          <w:sz w:val="24"/>
          <w:szCs w:val="24"/>
        </w:rPr>
        <w:t>供应商应自行提交《无重大</w:t>
      </w:r>
      <w:r>
        <w:rPr>
          <w:rFonts w:hint="eastAsia" w:ascii="宋体" w:hAnsi="宋体" w:cs="Arial"/>
          <w:sz w:val="24"/>
          <w:szCs w:val="24"/>
        </w:rPr>
        <w:t>违法记录承诺函》。</w:t>
      </w:r>
    </w:p>
    <w:p>
      <w:pPr>
        <w:numPr>
          <w:ilvl w:val="0"/>
          <w:numId w:val="4"/>
        </w:numPr>
        <w:spacing w:line="360" w:lineRule="auto"/>
        <w:ind w:left="425" w:leftChars="0" w:hanging="425" w:firstLineChars="0"/>
        <w:rPr>
          <w:rFonts w:hint="eastAsia" w:ascii="宋体" w:hAnsi="宋体" w:cs="Arial"/>
          <w:sz w:val="24"/>
          <w:szCs w:val="24"/>
        </w:rPr>
      </w:pPr>
      <w:r>
        <w:rPr>
          <w:rFonts w:hint="eastAsia" w:ascii="宋体" w:hAnsi="宋体" w:cs="Arial"/>
          <w:sz w:val="24"/>
          <w:szCs w:val="24"/>
        </w:rPr>
        <w:t>服务方案</w:t>
      </w:r>
    </w:p>
    <w:p>
      <w:pPr>
        <w:numPr>
          <w:ilvl w:val="0"/>
          <w:numId w:val="0"/>
        </w:numPr>
        <w:spacing w:line="360" w:lineRule="auto"/>
        <w:ind w:left="420" w:leftChars="0"/>
        <w:rPr>
          <w:rFonts w:hint="eastAsia" w:ascii="宋体" w:hAnsi="宋体" w:cs="宋体"/>
          <w:sz w:val="24"/>
          <w:szCs w:val="24"/>
        </w:rPr>
      </w:pPr>
      <w:r>
        <w:rPr>
          <w:rFonts w:hint="eastAsia" w:ascii="宋体" w:hAnsi="宋体" w:cs="宋体"/>
          <w:sz w:val="24"/>
          <w:szCs w:val="24"/>
        </w:rPr>
        <w:t>供应商应提交招标代理服务方案，方案应包含但不限于：</w:t>
      </w:r>
    </w:p>
    <w:p>
      <w:pPr>
        <w:numPr>
          <w:ilvl w:val="1"/>
          <w:numId w:val="4"/>
        </w:numPr>
        <w:spacing w:line="360" w:lineRule="auto"/>
        <w:ind w:left="840" w:leftChars="0" w:hanging="420" w:firstLineChars="0"/>
        <w:rPr>
          <w:rFonts w:hint="eastAsia" w:ascii="宋体" w:hAnsi="宋体" w:cs="宋体"/>
          <w:sz w:val="24"/>
          <w:szCs w:val="24"/>
        </w:rPr>
      </w:pPr>
      <w:r>
        <w:rPr>
          <w:rFonts w:hint="eastAsia" w:ascii="宋体" w:hAnsi="宋体" w:cs="宋体"/>
          <w:sz w:val="24"/>
          <w:szCs w:val="24"/>
        </w:rPr>
        <w:t>供应商的公司基本情况；</w:t>
      </w:r>
    </w:p>
    <w:p>
      <w:pPr>
        <w:numPr>
          <w:ilvl w:val="1"/>
          <w:numId w:val="4"/>
        </w:numPr>
        <w:spacing w:line="360" w:lineRule="auto"/>
        <w:ind w:left="840" w:leftChars="0" w:hanging="420" w:firstLineChars="0"/>
        <w:rPr>
          <w:rFonts w:hint="eastAsia" w:ascii="宋体" w:hAnsi="宋体" w:cs="宋体"/>
          <w:sz w:val="24"/>
          <w:szCs w:val="24"/>
        </w:rPr>
      </w:pPr>
      <w:r>
        <w:rPr>
          <w:rFonts w:hint="eastAsia" w:ascii="宋体" w:hAnsi="宋体" w:cs="宋体"/>
          <w:sz w:val="24"/>
          <w:szCs w:val="24"/>
        </w:rPr>
        <w:t>业务特长及自身优势；</w:t>
      </w:r>
    </w:p>
    <w:p>
      <w:pPr>
        <w:numPr>
          <w:ilvl w:val="1"/>
          <w:numId w:val="4"/>
        </w:numPr>
        <w:spacing w:line="360" w:lineRule="auto"/>
        <w:ind w:left="840" w:leftChars="0" w:hanging="420" w:firstLineChars="0"/>
        <w:rPr>
          <w:rFonts w:hint="eastAsia" w:ascii="宋体" w:hAnsi="宋体" w:cs="宋体"/>
          <w:sz w:val="24"/>
          <w:szCs w:val="24"/>
        </w:rPr>
      </w:pPr>
      <w:r>
        <w:rPr>
          <w:rFonts w:hint="eastAsia" w:ascii="宋体" w:hAnsi="宋体" w:cs="宋体"/>
          <w:sz w:val="24"/>
          <w:szCs w:val="24"/>
        </w:rPr>
        <w:t>组织机构和内部管理制度；</w:t>
      </w:r>
    </w:p>
    <w:p>
      <w:pPr>
        <w:numPr>
          <w:ilvl w:val="1"/>
          <w:numId w:val="4"/>
        </w:numPr>
        <w:spacing w:line="360" w:lineRule="auto"/>
        <w:ind w:left="840" w:leftChars="0" w:hanging="420" w:firstLineChars="0"/>
        <w:rPr>
          <w:rFonts w:hint="eastAsia"/>
          <w:sz w:val="24"/>
          <w:szCs w:val="24"/>
        </w:rPr>
      </w:pPr>
      <w:r>
        <w:rPr>
          <w:rFonts w:hint="eastAsia"/>
          <w:sz w:val="24"/>
          <w:szCs w:val="24"/>
        </w:rPr>
        <w:t>公开招标、竞争性谈判、竞争性磋商、询价</w:t>
      </w:r>
      <w:r>
        <w:rPr>
          <w:rFonts w:hint="eastAsia"/>
          <w:sz w:val="24"/>
          <w:szCs w:val="24"/>
          <w:lang w:eastAsia="zh-CN"/>
        </w:rPr>
        <w:t>招标</w:t>
      </w:r>
      <w:r>
        <w:rPr>
          <w:rFonts w:hint="eastAsia"/>
          <w:sz w:val="24"/>
          <w:szCs w:val="24"/>
        </w:rPr>
        <w:t>及单一来源</w:t>
      </w:r>
      <w:r>
        <w:rPr>
          <w:rFonts w:hint="eastAsia"/>
          <w:sz w:val="24"/>
          <w:szCs w:val="24"/>
          <w:lang w:val="en-US" w:eastAsia="zh-CN"/>
        </w:rPr>
        <w:t>采购</w:t>
      </w:r>
      <w:r>
        <w:rPr>
          <w:rFonts w:hint="eastAsia"/>
          <w:sz w:val="24"/>
          <w:szCs w:val="24"/>
        </w:rPr>
        <w:t>的适用范围、</w:t>
      </w:r>
      <w:r>
        <w:rPr>
          <w:rFonts w:hint="eastAsia"/>
          <w:sz w:val="24"/>
          <w:szCs w:val="24"/>
          <w:lang w:eastAsia="zh-CN"/>
        </w:rPr>
        <w:t>招标</w:t>
      </w:r>
      <w:r>
        <w:rPr>
          <w:rFonts w:hint="eastAsia"/>
          <w:sz w:val="24"/>
          <w:szCs w:val="24"/>
        </w:rPr>
        <w:t>流程、技术特色等。</w:t>
      </w:r>
    </w:p>
    <w:p>
      <w:pPr>
        <w:numPr>
          <w:ilvl w:val="1"/>
          <w:numId w:val="4"/>
        </w:numPr>
        <w:spacing w:line="360" w:lineRule="auto"/>
        <w:ind w:left="840" w:leftChars="0" w:hanging="420" w:firstLineChars="0"/>
        <w:rPr>
          <w:rFonts w:hint="eastAsia" w:ascii="宋体" w:hAnsi="宋体" w:cs="宋体"/>
          <w:sz w:val="24"/>
          <w:szCs w:val="24"/>
        </w:rPr>
      </w:pPr>
      <w:r>
        <w:rPr>
          <w:rFonts w:hint="eastAsia" w:ascii="宋体" w:hAnsi="宋体" w:cs="宋体"/>
          <w:sz w:val="24"/>
          <w:szCs w:val="24"/>
        </w:rPr>
        <w:t>根据</w:t>
      </w:r>
      <w:r>
        <w:rPr>
          <w:rFonts w:hint="eastAsia"/>
          <w:sz w:val="24"/>
          <w:szCs w:val="24"/>
        </w:rPr>
        <w:t>招标难点和关键要素分析，分别提出针对性</w:t>
      </w:r>
      <w:r>
        <w:rPr>
          <w:rFonts w:hint="eastAsia" w:ascii="宋体" w:hAnsi="宋体" w:cs="宋体"/>
          <w:sz w:val="24"/>
          <w:szCs w:val="24"/>
        </w:rPr>
        <w:t>解决方案：</w:t>
      </w:r>
    </w:p>
    <w:p>
      <w:pPr>
        <w:numPr>
          <w:ilvl w:val="0"/>
          <w:numId w:val="4"/>
        </w:numPr>
        <w:spacing w:line="360" w:lineRule="auto"/>
        <w:ind w:left="425" w:leftChars="0" w:hanging="425" w:firstLineChars="0"/>
        <w:rPr>
          <w:rFonts w:hint="eastAsia" w:ascii="宋体" w:hAnsi="宋体" w:cs="宋体"/>
          <w:color w:val="000000"/>
          <w:sz w:val="24"/>
          <w:szCs w:val="24"/>
        </w:rPr>
      </w:pPr>
      <w:r>
        <w:rPr>
          <w:rFonts w:hint="eastAsia" w:ascii="宋体" w:hAnsi="宋体" w:cs="宋体"/>
          <w:color w:val="000000"/>
          <w:sz w:val="24"/>
          <w:szCs w:val="24"/>
        </w:rPr>
        <w:t>延伸服务承诺</w:t>
      </w:r>
    </w:p>
    <w:p>
      <w:pPr>
        <w:numPr>
          <w:ilvl w:val="0"/>
          <w:numId w:val="0"/>
        </w:numPr>
        <w:spacing w:line="360" w:lineRule="auto"/>
        <w:ind w:leftChars="0" w:firstLine="420" w:firstLineChars="0"/>
        <w:rPr>
          <w:rFonts w:hint="eastAsia" w:ascii="宋体" w:hAnsi="宋体" w:cs="宋体"/>
          <w:color w:val="000000"/>
          <w:sz w:val="24"/>
          <w:szCs w:val="24"/>
        </w:rPr>
      </w:pPr>
      <w:r>
        <w:rPr>
          <w:rFonts w:hint="eastAsia" w:ascii="宋体" w:hAnsi="宋体" w:cs="宋体"/>
          <w:color w:val="000000"/>
          <w:sz w:val="24"/>
          <w:szCs w:val="24"/>
        </w:rPr>
        <w:t>供应商应详细论述除医院要求的服务内容外，可提供的延伸服务内容及方案。</w:t>
      </w:r>
    </w:p>
    <w:p>
      <w:pPr>
        <w:numPr>
          <w:ilvl w:val="0"/>
          <w:numId w:val="4"/>
        </w:numPr>
        <w:spacing w:line="360" w:lineRule="auto"/>
        <w:ind w:left="425" w:leftChars="0" w:hanging="425" w:firstLineChars="0"/>
        <w:rPr>
          <w:rFonts w:hint="eastAsia" w:ascii="宋体" w:hAnsi="宋体" w:cs="宋体"/>
          <w:color w:val="000000"/>
          <w:sz w:val="24"/>
          <w:szCs w:val="24"/>
        </w:rPr>
      </w:pPr>
      <w:r>
        <w:rPr>
          <w:rFonts w:hint="eastAsia" w:ascii="宋体" w:hAnsi="宋体" w:cs="宋体"/>
          <w:color w:val="000000"/>
          <w:sz w:val="24"/>
          <w:szCs w:val="24"/>
        </w:rPr>
        <w:t>业绩证明材料</w:t>
      </w:r>
    </w:p>
    <w:p>
      <w:pPr>
        <w:numPr>
          <w:ilvl w:val="0"/>
          <w:numId w:val="0"/>
        </w:numPr>
        <w:spacing w:line="360" w:lineRule="auto"/>
        <w:ind w:leftChars="0" w:firstLine="420" w:firstLineChars="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rPr>
        <w:t>业绩清单必须包括、医院名称、项目名称、委托金额。（以20</w:t>
      </w:r>
      <w:r>
        <w:rPr>
          <w:rFonts w:hint="eastAsia" w:ascii="宋体" w:hAnsi="宋体" w:cs="宋体"/>
          <w:color w:val="000000"/>
          <w:sz w:val="24"/>
          <w:szCs w:val="24"/>
          <w:highlight w:val="none"/>
          <w:lang w:val="en-US" w:eastAsia="zh-CN"/>
        </w:rPr>
        <w:t>22-</w:t>
      </w:r>
      <w:r>
        <w:rPr>
          <w:rFonts w:hint="eastAsia" w:ascii="宋体" w:hAnsi="宋体" w:cs="宋体"/>
          <w:color w:val="000000"/>
          <w:sz w:val="24"/>
          <w:szCs w:val="24"/>
          <w:highlight w:val="none"/>
        </w:rPr>
        <w:t>20</w:t>
      </w:r>
      <w:r>
        <w:rPr>
          <w:rFonts w:hint="eastAsia" w:ascii="宋体" w:hAnsi="宋体" w:cs="宋体"/>
          <w:color w:val="000000"/>
          <w:sz w:val="24"/>
          <w:szCs w:val="24"/>
          <w:highlight w:val="none"/>
          <w:lang w:val="en-US" w:eastAsia="zh-CN"/>
        </w:rPr>
        <w:t>24</w:t>
      </w:r>
      <w:r>
        <w:rPr>
          <w:rFonts w:hint="eastAsia" w:ascii="宋体" w:hAnsi="宋体" w:cs="宋体"/>
          <w:color w:val="000000"/>
          <w:sz w:val="24"/>
          <w:szCs w:val="24"/>
          <w:highlight w:val="none"/>
        </w:rPr>
        <w:t>年度业绩清单为准），根据以下类别提供上海地区医院招标</w:t>
      </w:r>
      <w:r>
        <w:rPr>
          <w:rFonts w:hint="eastAsia" w:ascii="宋体" w:hAnsi="宋体" w:cs="宋体"/>
          <w:color w:val="000000"/>
          <w:sz w:val="24"/>
          <w:szCs w:val="24"/>
          <w:highlight w:val="none"/>
          <w:lang w:eastAsia="zh-CN"/>
        </w:rPr>
        <w:t>招标</w:t>
      </w:r>
      <w:r>
        <w:rPr>
          <w:rFonts w:hint="eastAsia" w:ascii="宋体" w:hAnsi="宋体" w:cs="宋体"/>
          <w:color w:val="000000"/>
          <w:sz w:val="24"/>
          <w:szCs w:val="24"/>
          <w:highlight w:val="none"/>
        </w:rPr>
        <w:t>业绩</w:t>
      </w:r>
      <w:r>
        <w:rPr>
          <w:rFonts w:hint="eastAsia" w:ascii="宋体" w:hAnsi="宋体" w:cs="宋体"/>
          <w:color w:val="000000"/>
          <w:sz w:val="24"/>
          <w:szCs w:val="24"/>
          <w:highlight w:val="none"/>
          <w:lang w:eastAsia="zh-CN"/>
        </w:rPr>
        <w:t>。</w:t>
      </w:r>
    </w:p>
    <w:p>
      <w:pPr>
        <w:numPr>
          <w:ilvl w:val="0"/>
          <w:numId w:val="4"/>
        </w:numPr>
        <w:spacing w:line="360" w:lineRule="auto"/>
        <w:ind w:left="425" w:leftChars="0" w:hanging="425" w:firstLineChars="0"/>
        <w:rPr>
          <w:rFonts w:hint="eastAsia" w:ascii="宋体" w:hAnsi="宋体"/>
          <w:sz w:val="24"/>
          <w:szCs w:val="24"/>
          <w:highlight w:val="none"/>
        </w:rPr>
      </w:pPr>
      <w:r>
        <w:rPr>
          <w:rFonts w:hint="eastAsia" w:ascii="宋体" w:hAnsi="宋体"/>
          <w:sz w:val="24"/>
          <w:szCs w:val="24"/>
          <w:highlight w:val="none"/>
        </w:rPr>
        <w:t>供应商在上海有固定的办公场所,须提供产权证明或租赁合同复印件；</w:t>
      </w:r>
    </w:p>
    <w:p>
      <w:r>
        <w:rPr>
          <w:rFonts w:hint="eastAsia" w:ascii="宋体" w:hAnsi="宋体"/>
          <w:sz w:val="24"/>
          <w:szCs w:val="24"/>
          <w:lang w:val="en-US" w:eastAsia="zh-CN"/>
        </w:rPr>
        <w:t>以上材料应以第四部分规定格式提交，若未在第四部分规定格式的材料可由参选单位自行设计格式。</w:t>
      </w:r>
    </w:p>
    <w:p>
      <w:pPr>
        <w:pageBreakBefore/>
        <w:widowControl/>
        <w:spacing w:line="360" w:lineRule="auto"/>
        <w:ind w:left="420"/>
        <w:jc w:val="center"/>
        <w:rPr>
          <w:rFonts w:ascii="Times New Roman" w:hAnsi="Times New Roman" w:eastAsia="宋体" w:cs="宋体"/>
          <w:b/>
          <w:kern w:val="0"/>
          <w:sz w:val="28"/>
          <w:szCs w:val="28"/>
        </w:rPr>
      </w:pPr>
      <w:r>
        <w:rPr>
          <w:rFonts w:hint="eastAsia" w:ascii="Times New Roman" w:hAnsi="Times New Roman" w:eastAsia="宋体" w:cs="宋体"/>
          <w:b/>
          <w:kern w:val="0"/>
          <w:sz w:val="28"/>
          <w:szCs w:val="28"/>
        </w:rPr>
        <w:t>第三章、 响应文件的递交</w:t>
      </w:r>
    </w:p>
    <w:p>
      <w:pPr>
        <w:widowControl/>
        <w:spacing w:line="360" w:lineRule="auto"/>
        <w:jc w:val="left"/>
        <w:outlineLvl w:val="0"/>
        <w:rPr>
          <w:rFonts w:ascii="Times New Roman" w:hAnsi="Times New Roman" w:eastAsia="宋体" w:cs="Times New Roman"/>
          <w:color w:val="000000"/>
          <w:kern w:val="0"/>
          <w:sz w:val="24"/>
          <w:szCs w:val="20"/>
        </w:rPr>
      </w:pPr>
      <w:r>
        <w:rPr>
          <w:rFonts w:hint="eastAsia" w:ascii="Times New Roman" w:hAnsi="Times New Roman" w:eastAsia="宋体" w:cs="Times New Roman"/>
          <w:color w:val="000000"/>
          <w:kern w:val="0"/>
          <w:sz w:val="24"/>
          <w:szCs w:val="20"/>
        </w:rPr>
        <w:t>1、响应文件的密封和标记</w:t>
      </w:r>
    </w:p>
    <w:p>
      <w:pPr>
        <w:widowControl/>
        <w:spacing w:line="360" w:lineRule="auto"/>
        <w:ind w:left="425"/>
        <w:jc w:val="left"/>
        <w:outlineLvl w:val="0"/>
        <w:rPr>
          <w:rFonts w:ascii="Times New Roman" w:hAnsi="Times New Roman" w:eastAsia="宋体" w:cs="Times New Roman"/>
          <w:color w:val="000000"/>
          <w:kern w:val="0"/>
          <w:sz w:val="24"/>
          <w:szCs w:val="20"/>
        </w:rPr>
      </w:pPr>
      <w:bookmarkStart w:id="2" w:name="_Toc178913574"/>
      <w:r>
        <w:rPr>
          <w:rFonts w:hint="eastAsia" w:ascii="Times New Roman" w:hAnsi="Times New Roman" w:eastAsia="宋体" w:cs="Times New Roman"/>
          <w:color w:val="000000"/>
          <w:kern w:val="0"/>
          <w:sz w:val="24"/>
          <w:szCs w:val="20"/>
        </w:rPr>
        <w:t>（1）招标代理机构应将响应文件正本和副本分开密封装在单独的信封中，并在信封上正确标明“正本”“副本”字样，然后再将所有信封封装在一个外层信封中。</w:t>
      </w:r>
      <w:bookmarkEnd w:id="2"/>
    </w:p>
    <w:p>
      <w:pPr>
        <w:widowControl/>
        <w:spacing w:line="360" w:lineRule="auto"/>
        <w:ind w:left="425"/>
        <w:jc w:val="left"/>
        <w:outlineLvl w:val="0"/>
        <w:rPr>
          <w:rFonts w:ascii="Times New Roman" w:hAnsi="Times New Roman" w:eastAsia="宋体" w:cs="Times New Roman"/>
          <w:color w:val="000000"/>
          <w:kern w:val="0"/>
          <w:sz w:val="24"/>
          <w:szCs w:val="20"/>
        </w:rPr>
      </w:pPr>
      <w:bookmarkStart w:id="3" w:name="_Toc178913575"/>
      <w:r>
        <w:rPr>
          <w:rFonts w:hint="eastAsia" w:ascii="Times New Roman" w:hAnsi="Times New Roman" w:eastAsia="宋体" w:cs="Times New Roman"/>
          <w:color w:val="000000"/>
          <w:kern w:val="0"/>
          <w:sz w:val="24"/>
          <w:szCs w:val="20"/>
        </w:rPr>
        <w:t>（2）内层和外层信封都应写明项目名称、招标代理机构名称、地址、联系人及联系电话。</w:t>
      </w:r>
      <w:bookmarkEnd w:id="3"/>
    </w:p>
    <w:p>
      <w:pPr>
        <w:widowControl/>
        <w:spacing w:line="360" w:lineRule="auto"/>
        <w:ind w:left="425"/>
        <w:jc w:val="left"/>
        <w:outlineLvl w:val="0"/>
        <w:rPr>
          <w:rFonts w:ascii="Times New Roman" w:hAnsi="Times New Roman" w:eastAsia="宋体" w:cs="Times New Roman"/>
          <w:color w:val="000000"/>
          <w:kern w:val="0"/>
          <w:sz w:val="24"/>
          <w:szCs w:val="20"/>
        </w:rPr>
      </w:pPr>
      <w:bookmarkStart w:id="4" w:name="_Toc178913576"/>
      <w:r>
        <w:rPr>
          <w:rFonts w:hint="eastAsia" w:ascii="Times New Roman" w:hAnsi="Times New Roman" w:eastAsia="宋体" w:cs="Times New Roman"/>
          <w:color w:val="000000"/>
          <w:kern w:val="0"/>
          <w:sz w:val="24"/>
          <w:szCs w:val="20"/>
        </w:rPr>
        <w:t>（3）内外信封骑逢处应加盖招标代理机构公章或法人（投资人/负责人）代表印鉴或密封章。</w:t>
      </w:r>
      <w:bookmarkEnd w:id="4"/>
    </w:p>
    <w:p>
      <w:pPr>
        <w:widowControl/>
        <w:spacing w:line="360" w:lineRule="auto"/>
        <w:jc w:val="left"/>
        <w:outlineLvl w:val="0"/>
        <w:rPr>
          <w:rFonts w:ascii="Times New Roman" w:hAnsi="Times New Roman" w:eastAsia="宋体" w:cs="Times New Roman"/>
          <w:color w:val="000000"/>
          <w:kern w:val="0"/>
          <w:sz w:val="24"/>
          <w:szCs w:val="20"/>
        </w:rPr>
      </w:pPr>
      <w:bookmarkStart w:id="5" w:name="_Toc178913579"/>
      <w:bookmarkStart w:id="6" w:name="_Toc178913855"/>
      <w:bookmarkStart w:id="7" w:name="_Toc209852949"/>
      <w:r>
        <w:rPr>
          <w:rFonts w:hint="eastAsia" w:ascii="Times New Roman" w:hAnsi="Times New Roman" w:eastAsia="宋体" w:cs="Times New Roman"/>
          <w:color w:val="000000"/>
          <w:kern w:val="0"/>
          <w:sz w:val="24"/>
          <w:szCs w:val="20"/>
        </w:rPr>
        <w:t>2、递交投标文件的截止时间</w:t>
      </w:r>
      <w:bookmarkEnd w:id="5"/>
      <w:bookmarkEnd w:id="6"/>
      <w:bookmarkEnd w:id="7"/>
    </w:p>
    <w:p>
      <w:pPr>
        <w:widowControl/>
        <w:spacing w:line="360" w:lineRule="auto"/>
        <w:ind w:left="425"/>
        <w:jc w:val="left"/>
        <w:outlineLvl w:val="0"/>
        <w:rPr>
          <w:rFonts w:ascii="Times New Roman" w:hAnsi="Times New Roman" w:eastAsia="宋体" w:cs="Times New Roman"/>
          <w:color w:val="000000"/>
          <w:kern w:val="0"/>
          <w:sz w:val="24"/>
          <w:szCs w:val="20"/>
        </w:rPr>
      </w:pPr>
      <w:bookmarkStart w:id="8" w:name="_Toc178913580"/>
      <w:r>
        <w:rPr>
          <w:rFonts w:hint="eastAsia" w:ascii="Times New Roman" w:hAnsi="Times New Roman" w:eastAsia="宋体" w:cs="Times New Roman"/>
          <w:color w:val="000000"/>
          <w:kern w:val="0"/>
          <w:sz w:val="24"/>
          <w:szCs w:val="20"/>
        </w:rPr>
        <w:t>所有响应文件应在截止时间（即遴选文件中所规定的时间）前送达规定地点。</w:t>
      </w:r>
      <w:bookmarkEnd w:id="8"/>
    </w:p>
    <w:p>
      <w:pPr>
        <w:rPr>
          <w:rFonts w:ascii="Times New Roman" w:hAnsi="Times New Roman" w:eastAsia="宋体" w:cs="宋体"/>
          <w:b/>
          <w:kern w:val="0"/>
          <w:sz w:val="28"/>
          <w:szCs w:val="28"/>
        </w:rPr>
      </w:pPr>
      <w:r>
        <w:rPr>
          <w:rFonts w:hint="eastAsia" w:ascii="Times New Roman" w:hAnsi="Times New Roman" w:eastAsia="宋体" w:cs="宋体"/>
          <w:b/>
          <w:kern w:val="0"/>
          <w:sz w:val="28"/>
          <w:szCs w:val="28"/>
        </w:rPr>
        <w:br w:type="page"/>
      </w:r>
    </w:p>
    <w:p>
      <w:pPr>
        <w:spacing w:line="360" w:lineRule="auto"/>
        <w:ind w:left="420"/>
        <w:jc w:val="center"/>
        <w:rPr>
          <w:rFonts w:ascii="Times New Roman" w:hAnsi="Times New Roman"/>
          <w:color w:val="000000"/>
          <w:sz w:val="24"/>
        </w:rPr>
      </w:pPr>
      <w:r>
        <w:rPr>
          <w:rFonts w:hint="eastAsia" w:ascii="Times New Roman" w:hAnsi="Times New Roman" w:eastAsia="宋体" w:cs="宋体"/>
          <w:b/>
          <w:kern w:val="0"/>
          <w:sz w:val="28"/>
          <w:szCs w:val="28"/>
        </w:rPr>
        <w:t>第四章、评分标准</w:t>
      </w:r>
    </w:p>
    <w:p>
      <w:pPr>
        <w:spacing w:line="360" w:lineRule="auto"/>
        <w:outlineLvl w:val="1"/>
        <w:rPr>
          <w:rFonts w:ascii="Times New Roman" w:hAnsi="Times New Roman" w:cs="宋体"/>
          <w:spacing w:val="8"/>
          <w:sz w:val="24"/>
          <w:szCs w:val="24"/>
        </w:rPr>
      </w:pPr>
      <w:r>
        <w:rPr>
          <w:rFonts w:hint="eastAsia" w:ascii="Times New Roman" w:hAnsi="Times New Roman" w:cs="宋体"/>
          <w:spacing w:val="8"/>
          <w:sz w:val="24"/>
          <w:szCs w:val="24"/>
        </w:rPr>
        <w:t>评审原则及方法</w:t>
      </w:r>
    </w:p>
    <w:p>
      <w:pPr>
        <w:spacing w:line="360" w:lineRule="auto"/>
        <w:ind w:firstLine="512" w:firstLineChars="200"/>
        <w:outlineLvl w:val="1"/>
        <w:rPr>
          <w:rFonts w:ascii="Times New Roman" w:hAnsi="Times New Roman" w:cs="宋体"/>
          <w:spacing w:val="8"/>
          <w:sz w:val="24"/>
          <w:szCs w:val="24"/>
        </w:rPr>
      </w:pPr>
      <w:r>
        <w:rPr>
          <w:rFonts w:hint="eastAsia" w:ascii="Times New Roman" w:hAnsi="Times New Roman" w:cs="宋体"/>
          <w:spacing w:val="8"/>
          <w:sz w:val="24"/>
          <w:szCs w:val="24"/>
        </w:rPr>
        <w:t>评审前宣读专家评审纪律，采用综合评分法进行评审。即评审委员会成员根据综合评分法所确定的评分标准独立打分，得出每一招标代理机构的综合得分，根据医院实际需求及评分高低，推荐综合评分排名第一的招标代理机构，确定中选名单，如出现综合评分相同的单位，则综合得分相同的单位中报价低的单位排名靠前；如出现综合评分及报价均相等的情况，则以专家记名表决的形式确定同分单位的排名顺序。</w:t>
      </w:r>
    </w:p>
    <w:tbl>
      <w:tblPr>
        <w:tblStyle w:val="10"/>
        <w:tblW w:w="10068"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291"/>
        <w:gridCol w:w="880"/>
        <w:gridCol w:w="6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90" w:type="dxa"/>
            <w:noWrap w:val="0"/>
            <w:vAlign w:val="top"/>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序号</w:t>
            </w:r>
          </w:p>
        </w:tc>
        <w:tc>
          <w:tcPr>
            <w:tcW w:w="2291" w:type="dxa"/>
            <w:noWrap w:val="0"/>
            <w:vAlign w:val="top"/>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评审内容</w:t>
            </w:r>
          </w:p>
        </w:tc>
        <w:tc>
          <w:tcPr>
            <w:tcW w:w="880" w:type="dxa"/>
            <w:noWrap w:val="0"/>
            <w:vAlign w:val="top"/>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分值</w:t>
            </w:r>
          </w:p>
        </w:tc>
        <w:tc>
          <w:tcPr>
            <w:tcW w:w="6207" w:type="dxa"/>
            <w:noWrap w:val="0"/>
            <w:vAlign w:val="top"/>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90" w:type="dxa"/>
            <w:noWrap w:val="0"/>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1</w:t>
            </w:r>
          </w:p>
        </w:tc>
        <w:tc>
          <w:tcPr>
            <w:tcW w:w="2291"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招标服务费报价得分</w:t>
            </w:r>
          </w:p>
        </w:tc>
        <w:tc>
          <w:tcPr>
            <w:tcW w:w="880"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10分</w:t>
            </w:r>
          </w:p>
        </w:tc>
        <w:tc>
          <w:tcPr>
            <w:tcW w:w="6207" w:type="dxa"/>
            <w:noWrap w:val="0"/>
            <w:vAlign w:val="top"/>
          </w:tcPr>
          <w:p>
            <w:pPr>
              <w:spacing w:line="360" w:lineRule="auto"/>
              <w:rPr>
                <w:rFonts w:ascii="宋体" w:hAnsi="宋体" w:cs="宋体"/>
                <w:color w:val="000000"/>
                <w:sz w:val="24"/>
              </w:rPr>
            </w:pPr>
            <w:r>
              <w:rPr>
                <w:rFonts w:hint="eastAsia" w:ascii="Times New Roman" w:hAnsi="Times New Roman" w:cs="宋体"/>
                <w:color w:val="000000"/>
                <w:sz w:val="24"/>
              </w:rPr>
              <w:t>N</w:t>
            </w:r>
            <w:r>
              <w:rPr>
                <w:rFonts w:hint="eastAsia" w:ascii="宋体" w:hAnsi="宋体" w:cs="宋体"/>
                <w:color w:val="000000"/>
                <w:sz w:val="24"/>
              </w:rPr>
              <w:t>＝</w:t>
            </w:r>
            <w:r>
              <w:rPr>
                <w:rFonts w:hint="eastAsia" w:ascii="Times New Roman" w:hAnsi="Times New Roman" w:cs="宋体"/>
                <w:color w:val="000000"/>
                <w:sz w:val="24"/>
              </w:rPr>
              <w:t>10</w:t>
            </w:r>
            <w:r>
              <w:rPr>
                <w:rFonts w:hint="eastAsia" w:ascii="宋体" w:hAnsi="宋体" w:cs="宋体"/>
                <w:color w:val="000000"/>
                <w:sz w:val="24"/>
              </w:rPr>
              <w:t>*投标人的投标下浮率/所有投标中的有效最低下浮率。</w:t>
            </w:r>
            <w:r>
              <w:rPr>
                <w:rFonts w:ascii="宋体" w:hAnsi="宋体" w:cs="宋体"/>
                <w:color w:val="000000"/>
                <w:sz w:val="24"/>
              </w:rPr>
              <w:t xml:space="preserve"> </w:t>
            </w:r>
          </w:p>
          <w:p>
            <w:pPr>
              <w:spacing w:line="360" w:lineRule="auto"/>
              <w:rPr>
                <w:rFonts w:ascii="宋体" w:hAnsi="宋体" w:cs="宋体"/>
                <w:color w:val="000000"/>
                <w:sz w:val="24"/>
                <w:szCs w:val="24"/>
              </w:rPr>
            </w:pPr>
            <w:r>
              <w:rPr>
                <w:rFonts w:hint="eastAsia" w:ascii="宋体" w:hAnsi="宋体" w:cs="宋体"/>
                <w:color w:val="000000"/>
                <w:sz w:val="24"/>
              </w:rPr>
              <w:t>说明：“</w:t>
            </w:r>
            <w:r>
              <w:rPr>
                <w:rFonts w:hint="eastAsia" w:ascii="Times New Roman" w:hAnsi="Times New Roman" w:cs="宋体"/>
                <w:color w:val="000000"/>
                <w:sz w:val="24"/>
              </w:rPr>
              <w:t>N</w:t>
            </w:r>
            <w:r>
              <w:rPr>
                <w:rFonts w:hint="eastAsia" w:ascii="宋体" w:hAnsi="宋体" w:cs="宋体"/>
                <w:color w:val="000000"/>
                <w:sz w:val="24"/>
              </w:rPr>
              <w:t>”表示报价得分；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90" w:type="dxa"/>
            <w:noWrap w:val="0"/>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2</w:t>
            </w:r>
          </w:p>
        </w:tc>
        <w:tc>
          <w:tcPr>
            <w:tcW w:w="2291"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招标服务费报价合理性</w:t>
            </w:r>
          </w:p>
        </w:tc>
        <w:tc>
          <w:tcPr>
            <w:tcW w:w="880"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3分</w:t>
            </w:r>
          </w:p>
        </w:tc>
        <w:tc>
          <w:tcPr>
            <w:tcW w:w="6207" w:type="dxa"/>
            <w:noWrap w:val="0"/>
            <w:vAlign w:val="top"/>
          </w:tcPr>
          <w:p>
            <w:pPr>
              <w:spacing w:line="360" w:lineRule="auto"/>
              <w:rPr>
                <w:rFonts w:ascii="宋体" w:hAnsi="宋体" w:cs="宋体"/>
                <w:color w:val="000000"/>
                <w:sz w:val="24"/>
                <w:szCs w:val="24"/>
              </w:rPr>
            </w:pPr>
            <w:r>
              <w:rPr>
                <w:rFonts w:hint="eastAsia" w:ascii="宋体" w:hAnsi="宋体" w:cs="宋体"/>
                <w:color w:val="000000"/>
                <w:sz w:val="24"/>
                <w:szCs w:val="24"/>
              </w:rPr>
              <w:t>无最低收费的，得3分；有最低收费，但报价合理的，得2分；有最低收费，且报价较高的，得1分。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90" w:type="dxa"/>
            <w:noWrap w:val="0"/>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3</w:t>
            </w:r>
          </w:p>
        </w:tc>
        <w:tc>
          <w:tcPr>
            <w:tcW w:w="2291"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资质</w:t>
            </w:r>
          </w:p>
        </w:tc>
        <w:tc>
          <w:tcPr>
            <w:tcW w:w="880" w:type="dxa"/>
            <w:noWrap w:val="0"/>
            <w:vAlign w:val="center"/>
          </w:tcPr>
          <w:p>
            <w:pPr>
              <w:spacing w:line="360" w:lineRule="auto"/>
              <w:jc w:val="center"/>
              <w:rPr>
                <w:rFonts w:ascii="宋体" w:hAnsi="宋体" w:cs="宋体"/>
                <w:b/>
                <w:bCs/>
                <w:color w:val="000000"/>
                <w:sz w:val="24"/>
                <w:szCs w:val="24"/>
              </w:rPr>
            </w:pPr>
          </w:p>
        </w:tc>
        <w:tc>
          <w:tcPr>
            <w:tcW w:w="6207" w:type="dxa"/>
            <w:noWrap w:val="0"/>
            <w:vAlign w:val="top"/>
          </w:tcPr>
          <w:p>
            <w:pPr>
              <w:spacing w:line="360" w:lineRule="auto"/>
              <w:rPr>
                <w:rFonts w:ascii="宋体" w:hAnsi="宋体" w:cs="宋体"/>
                <w:b/>
                <w:bCs/>
                <w:color w:val="000000"/>
                <w:sz w:val="24"/>
                <w:szCs w:val="24"/>
              </w:rPr>
            </w:pPr>
            <w:r>
              <w:rPr>
                <w:rFonts w:hint="eastAsia" w:ascii="宋体" w:hAnsi="宋体" w:cs="宋体"/>
                <w:b/>
                <w:bCs/>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690" w:type="dxa"/>
            <w:noWrap w:val="0"/>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3.1</w:t>
            </w:r>
          </w:p>
        </w:tc>
        <w:tc>
          <w:tcPr>
            <w:tcW w:w="2291" w:type="dxa"/>
            <w:noWrap w:val="0"/>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企业注册资金</w:t>
            </w:r>
          </w:p>
        </w:tc>
        <w:tc>
          <w:tcPr>
            <w:tcW w:w="880"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3分</w:t>
            </w:r>
          </w:p>
        </w:tc>
        <w:tc>
          <w:tcPr>
            <w:tcW w:w="6207" w:type="dxa"/>
            <w:noWrap w:val="0"/>
            <w:vAlign w:val="top"/>
          </w:tcPr>
          <w:p>
            <w:pPr>
              <w:spacing w:line="360" w:lineRule="auto"/>
              <w:rPr>
                <w:rFonts w:ascii="宋体" w:hAnsi="宋体" w:cs="宋体"/>
                <w:color w:val="000000"/>
                <w:sz w:val="24"/>
                <w:szCs w:val="24"/>
              </w:rPr>
            </w:pPr>
            <w:r>
              <w:rPr>
                <w:rFonts w:hint="eastAsia" w:ascii="宋体" w:hAnsi="宋体" w:cs="宋体"/>
                <w:color w:val="000000"/>
                <w:sz w:val="24"/>
                <w:szCs w:val="24"/>
              </w:rPr>
              <w:t>企业注册资金＜500万元人民币，得0分；</w:t>
            </w:r>
          </w:p>
          <w:p>
            <w:pPr>
              <w:spacing w:line="360" w:lineRule="auto"/>
              <w:rPr>
                <w:rFonts w:ascii="宋体" w:hAnsi="宋体" w:cs="宋体"/>
                <w:color w:val="000000"/>
                <w:sz w:val="24"/>
                <w:szCs w:val="24"/>
              </w:rPr>
            </w:pPr>
            <w:r>
              <w:rPr>
                <w:rFonts w:hint="eastAsia" w:ascii="宋体" w:hAnsi="宋体" w:cs="宋体"/>
                <w:color w:val="000000"/>
                <w:sz w:val="24"/>
                <w:szCs w:val="24"/>
              </w:rPr>
              <w:t>500万元人民币≤企业注册资金＜1000万元人民币，得1分 ；</w:t>
            </w:r>
            <w:r>
              <w:rPr>
                <w:rFonts w:hint="eastAsia" w:ascii="宋体" w:hAnsi="宋体" w:cs="宋体"/>
                <w:color w:val="000000"/>
                <w:sz w:val="24"/>
                <w:szCs w:val="24"/>
              </w:rPr>
              <w:br w:type="textWrapping"/>
            </w:r>
            <w:r>
              <w:rPr>
                <w:rFonts w:hint="eastAsia" w:ascii="宋体" w:hAnsi="宋体" w:cs="宋体"/>
                <w:color w:val="000000"/>
                <w:sz w:val="24"/>
                <w:szCs w:val="24"/>
              </w:rPr>
              <w:t>1000万元人民币≤企业注册资金＜2000万元人民币，得2分 ；</w:t>
            </w:r>
          </w:p>
          <w:p>
            <w:pPr>
              <w:spacing w:line="360" w:lineRule="auto"/>
              <w:rPr>
                <w:rFonts w:ascii="宋体" w:hAnsi="宋体" w:cs="宋体"/>
                <w:color w:val="000000"/>
                <w:sz w:val="24"/>
                <w:szCs w:val="24"/>
              </w:rPr>
            </w:pPr>
            <w:r>
              <w:rPr>
                <w:rFonts w:hint="eastAsia" w:ascii="宋体" w:hAnsi="宋体" w:cs="宋体"/>
                <w:color w:val="000000"/>
                <w:sz w:val="24"/>
                <w:szCs w:val="24"/>
              </w:rPr>
              <w:t>2000万元人民币≤企业注册资金，得3分。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690" w:type="dxa"/>
            <w:noWrap w:val="0"/>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3.2</w:t>
            </w:r>
          </w:p>
        </w:tc>
        <w:tc>
          <w:tcPr>
            <w:tcW w:w="2291" w:type="dxa"/>
            <w:noWrap w:val="0"/>
            <w:vAlign w:val="center"/>
          </w:tcPr>
          <w:p>
            <w:pPr>
              <w:spacing w:line="360" w:lineRule="auto"/>
              <w:jc w:val="both"/>
              <w:rPr>
                <w:rFonts w:ascii="宋体" w:hAnsi="宋体" w:cs="宋体"/>
                <w:sz w:val="24"/>
                <w:szCs w:val="24"/>
              </w:rPr>
            </w:pPr>
            <w:r>
              <w:rPr>
                <w:rFonts w:hint="eastAsia" w:ascii="宋体" w:hAnsi="宋体" w:cs="宋体"/>
                <w:color w:val="000000"/>
                <w:sz w:val="24"/>
                <w:szCs w:val="24"/>
              </w:rPr>
              <w:t>企业综合实力</w:t>
            </w:r>
          </w:p>
        </w:tc>
        <w:tc>
          <w:tcPr>
            <w:tcW w:w="880" w:type="dxa"/>
            <w:noWrap w:val="0"/>
            <w:vAlign w:val="center"/>
          </w:tcPr>
          <w:p>
            <w:pPr>
              <w:jc w:val="center"/>
              <w:rPr>
                <w:rFonts w:ascii="宋体" w:hAnsi="宋体" w:cs="宋体"/>
                <w:sz w:val="24"/>
                <w:szCs w:val="24"/>
              </w:rPr>
            </w:pPr>
            <w:r>
              <w:rPr>
                <w:rFonts w:hint="eastAsia" w:ascii="宋体" w:hAnsi="宋体" w:cs="宋体"/>
                <w:sz w:val="24"/>
                <w:szCs w:val="24"/>
              </w:rPr>
              <w:t>6分</w:t>
            </w:r>
          </w:p>
        </w:tc>
        <w:tc>
          <w:tcPr>
            <w:tcW w:w="6207" w:type="dxa"/>
            <w:noWrap w:val="0"/>
            <w:vAlign w:val="top"/>
          </w:tcPr>
          <w:p>
            <w:pPr>
              <w:spacing w:line="360" w:lineRule="auto"/>
              <w:rPr>
                <w:rFonts w:ascii="宋体" w:hAnsi="宋体" w:cs="宋体"/>
                <w:sz w:val="24"/>
                <w:szCs w:val="24"/>
              </w:rPr>
            </w:pPr>
            <w:r>
              <w:rPr>
                <w:rFonts w:hint="eastAsia" w:ascii="宋体" w:hAnsi="宋体" w:cs="宋体"/>
                <w:color w:val="000000"/>
                <w:sz w:val="24"/>
                <w:szCs w:val="24"/>
              </w:rPr>
              <w:t>根据企业在招投标代理行业代理范围及资质、从事政府采购、国际招标的招标代理业务年限、企业综合实力、所获招投标领域奖项、在服务业主行业和数量、企业规模、评审专家库规模等进行评价。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690" w:type="dxa"/>
            <w:noWrap w:val="0"/>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4</w:t>
            </w:r>
          </w:p>
        </w:tc>
        <w:tc>
          <w:tcPr>
            <w:tcW w:w="2291" w:type="dxa"/>
            <w:noWrap w:val="0"/>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服务方案</w:t>
            </w:r>
          </w:p>
        </w:tc>
        <w:tc>
          <w:tcPr>
            <w:tcW w:w="880"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25分</w:t>
            </w:r>
          </w:p>
        </w:tc>
        <w:tc>
          <w:tcPr>
            <w:tcW w:w="6207" w:type="dxa"/>
            <w:noWrap w:val="0"/>
            <w:vAlign w:val="top"/>
          </w:tcPr>
          <w:p>
            <w:pPr>
              <w:spacing w:line="360" w:lineRule="auto"/>
              <w:jc w:val="both"/>
              <w:rPr>
                <w:rFonts w:ascii="宋体" w:hAnsi="宋体" w:cs="宋体"/>
                <w:color w:val="000000"/>
                <w:sz w:val="24"/>
                <w:szCs w:val="24"/>
              </w:rPr>
            </w:pPr>
            <w:r>
              <w:rPr>
                <w:rFonts w:hint="eastAsia" w:ascii="宋体" w:hAnsi="宋体" w:cs="宋体"/>
                <w:color w:val="000000"/>
                <w:sz w:val="24"/>
                <w:szCs w:val="24"/>
              </w:rPr>
              <w:t>评审小组根据招标代理机构响应的招标代理服务方案进行评定，评判依据包括服务方案的可行性、延伸服务承诺、数据统计分析能力、招标公示知晓度、招标成功率，审计抽查记录、对本项目情况的理解程度等。</w:t>
            </w:r>
            <w:r>
              <w:rPr>
                <w:rFonts w:hint="eastAsia" w:ascii="宋体" w:hAnsi="宋体" w:cs="宋体"/>
                <w:color w:val="000000"/>
                <w:sz w:val="24"/>
                <w:szCs w:val="24"/>
              </w:rPr>
              <w:br w:type="textWrapping"/>
            </w:r>
            <w:r>
              <w:rPr>
                <w:rFonts w:hint="eastAsia" w:ascii="宋体" w:hAnsi="宋体" w:cs="宋体"/>
                <w:color w:val="000000"/>
                <w:sz w:val="24"/>
                <w:szCs w:val="24"/>
              </w:rPr>
              <w:t>较好的，得18～25分；一般的，得9～17分；其他的，得0～8分。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690" w:type="dxa"/>
            <w:noWrap w:val="0"/>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5</w:t>
            </w:r>
          </w:p>
        </w:tc>
        <w:tc>
          <w:tcPr>
            <w:tcW w:w="2291" w:type="dxa"/>
            <w:noWrap w:val="0"/>
            <w:vAlign w:val="center"/>
          </w:tcPr>
          <w:p>
            <w:pPr>
              <w:rPr>
                <w:rFonts w:ascii="宋体" w:hAnsi="宋体" w:cs="仿宋"/>
                <w:sz w:val="24"/>
                <w:szCs w:val="24"/>
              </w:rPr>
            </w:pPr>
            <w:r>
              <w:rPr>
                <w:rFonts w:hint="eastAsia" w:ascii="宋体" w:hAnsi="宋体" w:cs="仿宋"/>
                <w:sz w:val="24"/>
                <w:szCs w:val="24"/>
              </w:rPr>
              <w:t>相关制度及措施</w:t>
            </w:r>
          </w:p>
        </w:tc>
        <w:tc>
          <w:tcPr>
            <w:tcW w:w="880"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8分</w:t>
            </w:r>
          </w:p>
        </w:tc>
        <w:tc>
          <w:tcPr>
            <w:tcW w:w="6207" w:type="dxa"/>
            <w:noWrap w:val="0"/>
            <w:vAlign w:val="top"/>
          </w:tcPr>
          <w:p>
            <w:pPr>
              <w:spacing w:line="360" w:lineRule="auto"/>
              <w:rPr>
                <w:rFonts w:ascii="宋体" w:hAnsi="宋体" w:cs="仿宋"/>
                <w:sz w:val="24"/>
                <w:szCs w:val="24"/>
              </w:rPr>
            </w:pPr>
            <w:r>
              <w:rPr>
                <w:rFonts w:hint="eastAsia" w:ascii="宋体" w:hAnsi="宋体" w:cs="仿宋"/>
                <w:sz w:val="24"/>
                <w:szCs w:val="24"/>
              </w:rPr>
              <w:t>供应商需具有完整完善的服务质量管理制度、人员保障措施及培训计划、考核制度及标准、档案管理制度、保密制度，清晰明确的工作流程规定，合理的监督机制、信息反馈及处理机制等。</w:t>
            </w:r>
          </w:p>
          <w:p>
            <w:pPr>
              <w:spacing w:line="360" w:lineRule="auto"/>
              <w:rPr>
                <w:rFonts w:ascii="宋体" w:hAnsi="宋体" w:cs="仿宋"/>
                <w:sz w:val="24"/>
                <w:szCs w:val="24"/>
              </w:rPr>
            </w:pPr>
            <w:r>
              <w:rPr>
                <w:rFonts w:hint="eastAsia" w:ascii="宋体" w:hAnsi="宋体" w:cs="仿宋"/>
                <w:sz w:val="24"/>
                <w:szCs w:val="24"/>
              </w:rPr>
              <w:t>完全满足得6-8分；</w:t>
            </w:r>
          </w:p>
          <w:p>
            <w:pPr>
              <w:spacing w:line="360" w:lineRule="auto"/>
              <w:rPr>
                <w:rFonts w:ascii="宋体" w:hAnsi="宋体" w:cs="仿宋"/>
                <w:sz w:val="24"/>
                <w:szCs w:val="24"/>
              </w:rPr>
            </w:pPr>
            <w:r>
              <w:rPr>
                <w:rFonts w:hint="eastAsia" w:ascii="宋体" w:hAnsi="宋体" w:cs="仿宋"/>
                <w:sz w:val="24"/>
                <w:szCs w:val="24"/>
              </w:rPr>
              <w:t>部分满足得3-5分；</w:t>
            </w:r>
          </w:p>
          <w:p>
            <w:pPr>
              <w:spacing w:after="240" w:line="360" w:lineRule="auto"/>
              <w:rPr>
                <w:rFonts w:ascii="宋体" w:hAnsi="宋体" w:cs="宋体"/>
                <w:color w:val="000000"/>
                <w:sz w:val="24"/>
                <w:szCs w:val="24"/>
              </w:rPr>
            </w:pPr>
            <w:r>
              <w:rPr>
                <w:rFonts w:hint="eastAsia" w:ascii="宋体" w:hAnsi="宋体" w:cs="仿宋"/>
                <w:sz w:val="24"/>
                <w:szCs w:val="24"/>
              </w:rPr>
              <w:t>有较多缺失得0-2分；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0" w:hRule="atLeast"/>
        </w:trPr>
        <w:tc>
          <w:tcPr>
            <w:tcW w:w="690" w:type="dxa"/>
            <w:noWrap w:val="0"/>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6</w:t>
            </w:r>
          </w:p>
        </w:tc>
        <w:tc>
          <w:tcPr>
            <w:tcW w:w="2291" w:type="dxa"/>
            <w:noWrap w:val="0"/>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延伸服务能力</w:t>
            </w:r>
          </w:p>
        </w:tc>
        <w:tc>
          <w:tcPr>
            <w:tcW w:w="880"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10分</w:t>
            </w:r>
          </w:p>
        </w:tc>
        <w:tc>
          <w:tcPr>
            <w:tcW w:w="6207" w:type="dxa"/>
            <w:noWrap w:val="0"/>
            <w:vAlign w:val="top"/>
          </w:tcPr>
          <w:p>
            <w:pPr>
              <w:spacing w:after="240" w:line="360" w:lineRule="auto"/>
              <w:rPr>
                <w:rFonts w:ascii="宋体" w:hAnsi="宋体" w:cs="宋体"/>
                <w:color w:val="000000"/>
                <w:sz w:val="24"/>
                <w:szCs w:val="24"/>
              </w:rPr>
            </w:pPr>
            <w:r>
              <w:rPr>
                <w:rFonts w:hint="eastAsia" w:ascii="宋体" w:hAnsi="宋体" w:cs="宋体"/>
                <w:color w:val="000000"/>
                <w:sz w:val="24"/>
                <w:szCs w:val="24"/>
              </w:rPr>
              <w:t>评审小组根据招标代理机构响应的招标代理延伸服务承诺进行评定，评判依据包括延伸服务的内容、方案及效果等酌情打分。</w:t>
            </w:r>
            <w:r>
              <w:rPr>
                <w:rFonts w:hint="eastAsia" w:ascii="宋体" w:hAnsi="宋体" w:cs="宋体"/>
                <w:color w:val="000000"/>
                <w:sz w:val="24"/>
                <w:szCs w:val="24"/>
              </w:rPr>
              <w:br w:type="textWrapping"/>
            </w:r>
            <w:r>
              <w:rPr>
                <w:rFonts w:hint="eastAsia" w:ascii="宋体" w:hAnsi="宋体" w:cs="宋体"/>
                <w:color w:val="000000"/>
                <w:sz w:val="24"/>
                <w:szCs w:val="24"/>
              </w:rPr>
              <w:t>较好的，得8～10分；一般的，得4～7分；其他的，得0～3分。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90" w:type="dxa"/>
            <w:noWrap w:val="0"/>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7</w:t>
            </w:r>
          </w:p>
        </w:tc>
        <w:tc>
          <w:tcPr>
            <w:tcW w:w="2291" w:type="dxa"/>
            <w:noWrap w:val="0"/>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企业业绩情况</w:t>
            </w:r>
          </w:p>
        </w:tc>
        <w:tc>
          <w:tcPr>
            <w:tcW w:w="880" w:type="dxa"/>
            <w:noWrap w:val="0"/>
            <w:vAlign w:val="top"/>
          </w:tcPr>
          <w:p>
            <w:pPr>
              <w:spacing w:line="360" w:lineRule="auto"/>
              <w:jc w:val="center"/>
              <w:rPr>
                <w:rFonts w:ascii="宋体" w:hAnsi="宋体" w:cs="宋体"/>
                <w:color w:val="000000"/>
                <w:sz w:val="24"/>
                <w:szCs w:val="24"/>
              </w:rPr>
            </w:pPr>
            <w:r>
              <w:rPr>
                <w:rFonts w:hint="eastAsia" w:ascii="宋体" w:hAnsi="宋体" w:cs="宋体"/>
                <w:color w:val="000000"/>
                <w:sz w:val="24"/>
                <w:szCs w:val="24"/>
              </w:rPr>
              <w:t>　</w:t>
            </w:r>
          </w:p>
        </w:tc>
        <w:tc>
          <w:tcPr>
            <w:tcW w:w="6207" w:type="dxa"/>
            <w:noWrap w:val="0"/>
            <w:vAlign w:val="top"/>
          </w:tcPr>
          <w:p>
            <w:pPr>
              <w:spacing w:line="360" w:lineRule="auto"/>
              <w:rPr>
                <w:rFonts w:ascii="宋体" w:hAnsi="宋体" w:cs="宋体"/>
                <w:color w:val="000000"/>
                <w:sz w:val="24"/>
                <w:szCs w:val="24"/>
              </w:rPr>
            </w:pPr>
            <w:r>
              <w:rPr>
                <w:rFonts w:hint="eastAsia" w:ascii="宋体" w:hAnsi="宋体"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690" w:type="dxa"/>
            <w:noWrap w:val="0"/>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7.1</w:t>
            </w:r>
          </w:p>
        </w:tc>
        <w:tc>
          <w:tcPr>
            <w:tcW w:w="2291" w:type="dxa"/>
            <w:noWrap w:val="0"/>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上海地区三甲医院市场占有率</w:t>
            </w:r>
          </w:p>
        </w:tc>
        <w:tc>
          <w:tcPr>
            <w:tcW w:w="880" w:type="dxa"/>
            <w:noWrap w:val="0"/>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10分</w:t>
            </w:r>
          </w:p>
        </w:tc>
        <w:tc>
          <w:tcPr>
            <w:tcW w:w="6207" w:type="dxa"/>
            <w:noWrap w:val="0"/>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提供近</w:t>
            </w:r>
            <w:r>
              <w:rPr>
                <w:rFonts w:hint="eastAsia" w:ascii="宋体" w:hAnsi="宋体" w:cs="宋体"/>
                <w:color w:val="000000"/>
                <w:sz w:val="24"/>
                <w:szCs w:val="24"/>
                <w:lang w:val="en-US" w:eastAsia="zh-CN"/>
              </w:rPr>
              <w:t>三</w:t>
            </w:r>
            <w:r>
              <w:rPr>
                <w:rFonts w:hint="eastAsia" w:ascii="宋体" w:hAnsi="宋体" w:cs="宋体"/>
                <w:color w:val="000000"/>
                <w:sz w:val="24"/>
                <w:szCs w:val="24"/>
              </w:rPr>
              <w:t>年上海地区三甲医院的招标代理合同复印件（以202</w:t>
            </w:r>
            <w:r>
              <w:rPr>
                <w:rFonts w:hint="eastAsia" w:ascii="宋体" w:hAnsi="宋体" w:cs="宋体"/>
                <w:color w:val="000000"/>
                <w:sz w:val="24"/>
                <w:szCs w:val="24"/>
                <w:lang w:val="en-US" w:eastAsia="zh-CN"/>
              </w:rPr>
              <w:t>2-</w:t>
            </w:r>
            <w:r>
              <w:rPr>
                <w:rFonts w:hint="eastAsia" w:ascii="宋体" w:hAnsi="宋体" w:cs="宋体"/>
                <w:color w:val="000000"/>
                <w:sz w:val="24"/>
                <w:szCs w:val="24"/>
              </w:rPr>
              <w:t>202</w:t>
            </w:r>
            <w:r>
              <w:rPr>
                <w:rFonts w:hint="eastAsia" w:ascii="宋体" w:hAnsi="宋体" w:cs="宋体"/>
                <w:color w:val="000000"/>
                <w:sz w:val="24"/>
                <w:szCs w:val="24"/>
                <w:lang w:val="en-US" w:eastAsia="zh-CN"/>
              </w:rPr>
              <w:t>4</w:t>
            </w:r>
            <w:r>
              <w:rPr>
                <w:rFonts w:hint="eastAsia" w:ascii="宋体" w:hAnsi="宋体" w:cs="宋体"/>
                <w:color w:val="000000"/>
                <w:sz w:val="24"/>
                <w:szCs w:val="24"/>
              </w:rPr>
              <w:t>年度合同复印件为准）。</w:t>
            </w:r>
            <w:r>
              <w:rPr>
                <w:rFonts w:hint="eastAsia" w:ascii="宋体" w:hAnsi="宋体" w:cs="宋体"/>
                <w:color w:val="000000"/>
                <w:sz w:val="24"/>
                <w:szCs w:val="24"/>
              </w:rPr>
              <w:br w:type="textWrapping"/>
            </w:r>
            <w:r>
              <w:rPr>
                <w:rFonts w:hint="eastAsia" w:ascii="宋体" w:hAnsi="宋体" w:cs="宋体"/>
                <w:color w:val="000000"/>
                <w:sz w:val="24"/>
                <w:szCs w:val="24"/>
              </w:rPr>
              <w:t>具有</w:t>
            </w:r>
            <w:r>
              <w:rPr>
                <w:rFonts w:hint="eastAsia" w:ascii="宋体" w:hAnsi="宋体" w:cs="宋体"/>
                <w:sz w:val="24"/>
                <w:szCs w:val="24"/>
              </w:rPr>
              <w:t>25家及以上三级甲等医院</w:t>
            </w:r>
            <w:r>
              <w:rPr>
                <w:rFonts w:hint="eastAsia" w:ascii="宋体" w:hAnsi="宋体" w:cs="宋体"/>
                <w:color w:val="000000"/>
                <w:sz w:val="24"/>
                <w:szCs w:val="24"/>
              </w:rPr>
              <w:t>招标业绩的，得10分；</w:t>
            </w:r>
            <w:r>
              <w:rPr>
                <w:rFonts w:hint="eastAsia" w:ascii="宋体" w:hAnsi="宋体" w:cs="宋体"/>
                <w:color w:val="000000"/>
                <w:sz w:val="24"/>
                <w:szCs w:val="24"/>
              </w:rPr>
              <w:br w:type="textWrapping"/>
            </w:r>
            <w:r>
              <w:rPr>
                <w:rFonts w:hint="eastAsia" w:ascii="宋体" w:hAnsi="宋体" w:cs="宋体"/>
                <w:color w:val="000000"/>
                <w:sz w:val="24"/>
                <w:szCs w:val="24"/>
              </w:rPr>
              <w:t>具有20家及以上三级甲等医院招标业绩的，得6分；</w:t>
            </w:r>
            <w:r>
              <w:rPr>
                <w:rFonts w:hint="eastAsia" w:ascii="宋体" w:hAnsi="宋体" w:cs="宋体"/>
                <w:color w:val="000000"/>
                <w:sz w:val="24"/>
                <w:szCs w:val="24"/>
              </w:rPr>
              <w:br w:type="textWrapping"/>
            </w:r>
            <w:r>
              <w:rPr>
                <w:rFonts w:hint="eastAsia" w:ascii="宋体" w:hAnsi="宋体" w:cs="宋体"/>
                <w:color w:val="000000"/>
                <w:sz w:val="24"/>
                <w:szCs w:val="24"/>
              </w:rPr>
              <w:t>具有10家及以上三级甲等医院招标业绩的，得4分；</w:t>
            </w:r>
          </w:p>
          <w:p>
            <w:pPr>
              <w:spacing w:line="360" w:lineRule="auto"/>
              <w:rPr>
                <w:rFonts w:ascii="宋体" w:hAnsi="宋体" w:cs="宋体"/>
                <w:color w:val="000000"/>
                <w:sz w:val="24"/>
                <w:szCs w:val="24"/>
              </w:rPr>
            </w:pPr>
            <w:r>
              <w:rPr>
                <w:rFonts w:hint="eastAsia" w:ascii="宋体" w:hAnsi="宋体" w:cs="宋体"/>
                <w:color w:val="000000"/>
                <w:sz w:val="24"/>
                <w:szCs w:val="24"/>
              </w:rPr>
              <w:t>具有5家及以上三级甲等医院招标业绩的，得2分；</w:t>
            </w:r>
            <w:r>
              <w:rPr>
                <w:rFonts w:hint="eastAsia" w:ascii="宋体" w:hAnsi="宋体" w:cs="宋体"/>
                <w:color w:val="000000"/>
                <w:sz w:val="24"/>
                <w:szCs w:val="24"/>
              </w:rPr>
              <w:br w:type="textWrapping"/>
            </w:r>
            <w:r>
              <w:rPr>
                <w:rFonts w:hint="eastAsia" w:ascii="宋体" w:hAnsi="宋体" w:cs="宋体"/>
                <w:color w:val="000000"/>
                <w:sz w:val="24"/>
                <w:szCs w:val="24"/>
              </w:rPr>
              <w:t>低于5家的，得0分。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690" w:type="dxa"/>
            <w:tcBorders>
              <w:bottom w:val="single" w:color="auto" w:sz="4" w:space="0"/>
            </w:tcBorders>
            <w:noWrap w:val="0"/>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7.2</w:t>
            </w:r>
          </w:p>
        </w:tc>
        <w:tc>
          <w:tcPr>
            <w:tcW w:w="2291" w:type="dxa"/>
            <w:tcBorders>
              <w:bottom w:val="single" w:color="auto" w:sz="4" w:space="0"/>
            </w:tcBorders>
            <w:noWrap w:val="0"/>
            <w:vAlign w:val="top"/>
          </w:tcPr>
          <w:p>
            <w:pPr>
              <w:spacing w:line="360" w:lineRule="auto"/>
              <w:jc w:val="both"/>
              <w:rPr>
                <w:rFonts w:ascii="宋体" w:hAnsi="宋体" w:cs="宋体"/>
                <w:b w:val="0"/>
                <w:bCs/>
                <w:color w:val="000000"/>
                <w:sz w:val="24"/>
                <w:szCs w:val="24"/>
              </w:rPr>
            </w:pPr>
            <w:r>
              <w:rPr>
                <w:rFonts w:hint="eastAsia" w:ascii="Times New Roman" w:hAnsi="Times New Roman" w:cs="宋体"/>
                <w:b w:val="0"/>
                <w:bCs/>
                <w:color w:val="000000"/>
                <w:sz w:val="24"/>
                <w:szCs w:val="24"/>
              </w:rPr>
              <w:t>类似项目采购经验</w:t>
            </w:r>
          </w:p>
        </w:tc>
        <w:tc>
          <w:tcPr>
            <w:tcW w:w="880" w:type="dxa"/>
            <w:tcBorders>
              <w:bottom w:val="single" w:color="auto" w:sz="4" w:space="0"/>
            </w:tcBorders>
            <w:noWrap w:val="0"/>
            <w:vAlign w:val="top"/>
          </w:tcPr>
          <w:p>
            <w:pPr>
              <w:spacing w:line="360" w:lineRule="auto"/>
              <w:jc w:val="both"/>
              <w:rPr>
                <w:rFonts w:ascii="宋体" w:hAnsi="宋体" w:cs="宋体"/>
                <w:b w:val="0"/>
                <w:bCs/>
                <w:color w:val="000000"/>
                <w:sz w:val="24"/>
                <w:szCs w:val="24"/>
              </w:rPr>
            </w:pPr>
            <w:r>
              <w:rPr>
                <w:rFonts w:hint="eastAsia" w:ascii="Times New Roman" w:hAnsi="Times New Roman" w:cs="宋体"/>
                <w:b w:val="0"/>
                <w:bCs/>
                <w:color w:val="000000"/>
                <w:sz w:val="24"/>
                <w:szCs w:val="24"/>
                <w:lang w:val="en-US" w:eastAsia="zh-CN"/>
              </w:rPr>
              <w:t>10</w:t>
            </w:r>
            <w:r>
              <w:rPr>
                <w:rFonts w:hint="eastAsia" w:ascii="Times New Roman" w:hAnsi="Times New Roman" w:cs="宋体"/>
                <w:b w:val="0"/>
                <w:bCs/>
                <w:color w:val="000000"/>
                <w:sz w:val="24"/>
                <w:szCs w:val="24"/>
              </w:rPr>
              <w:t>分</w:t>
            </w:r>
          </w:p>
        </w:tc>
        <w:tc>
          <w:tcPr>
            <w:tcW w:w="6207" w:type="dxa"/>
            <w:tcBorders>
              <w:bottom w:val="single" w:color="auto" w:sz="4" w:space="0"/>
            </w:tcBorders>
            <w:noWrap w:val="0"/>
            <w:vAlign w:val="center"/>
          </w:tcPr>
          <w:p>
            <w:pPr>
              <w:spacing w:line="360" w:lineRule="auto"/>
              <w:jc w:val="both"/>
              <w:rPr>
                <w:rFonts w:ascii="宋体" w:hAnsi="宋体" w:cs="宋体"/>
                <w:b w:val="0"/>
                <w:bCs/>
                <w:color w:val="000000"/>
                <w:sz w:val="24"/>
                <w:szCs w:val="24"/>
              </w:rPr>
            </w:pPr>
            <w:r>
              <w:rPr>
                <w:rFonts w:hint="eastAsia" w:ascii="Times New Roman" w:hAnsi="Times New Roman"/>
                <w:b w:val="0"/>
                <w:bCs/>
                <w:sz w:val="24"/>
                <w:szCs w:val="24"/>
              </w:rPr>
              <w:t>近</w:t>
            </w:r>
            <w:r>
              <w:rPr>
                <w:rFonts w:hint="eastAsia" w:ascii="Times New Roman" w:hAnsi="Times New Roman"/>
                <w:b w:val="0"/>
                <w:bCs/>
                <w:sz w:val="24"/>
                <w:szCs w:val="24"/>
                <w:lang w:val="en-US" w:eastAsia="zh-CN"/>
              </w:rPr>
              <w:t>三</w:t>
            </w:r>
            <w:r>
              <w:rPr>
                <w:rFonts w:hint="eastAsia" w:ascii="Times New Roman" w:hAnsi="Times New Roman"/>
                <w:b w:val="0"/>
                <w:bCs/>
                <w:sz w:val="24"/>
                <w:szCs w:val="24"/>
              </w:rPr>
              <w:t>年上海地区医疗机构</w:t>
            </w:r>
            <w:r>
              <w:rPr>
                <w:rFonts w:hint="eastAsia" w:ascii="宋体" w:hAnsi="Courier New"/>
                <w:b w:val="0"/>
                <w:bCs/>
                <w:sz w:val="24"/>
              </w:rPr>
              <w:t>相关专</w:t>
            </w:r>
            <w:r>
              <w:rPr>
                <w:rFonts w:hint="eastAsia" w:ascii="宋体" w:hAnsi="Courier New"/>
                <w:b w:val="0"/>
                <w:bCs/>
                <w:sz w:val="24"/>
                <w:lang w:val="en-US" w:eastAsia="zh-CN"/>
              </w:rPr>
              <w:t>修缮类</w:t>
            </w:r>
            <w:r>
              <w:rPr>
                <w:rFonts w:hint="eastAsia" w:ascii="Times New Roman" w:hAnsi="Times New Roman"/>
                <w:b w:val="0"/>
                <w:bCs/>
                <w:sz w:val="24"/>
                <w:szCs w:val="24"/>
              </w:rPr>
              <w:t>招标采购项目数量及总采购金额进行综合评定，业绩清单必须包括委托时间、医院名称、项目名称、委托金额等。（以2</w:t>
            </w:r>
            <w:r>
              <w:rPr>
                <w:rFonts w:ascii="Times New Roman" w:hAnsi="Times New Roman"/>
                <w:b w:val="0"/>
                <w:bCs/>
                <w:sz w:val="24"/>
                <w:szCs w:val="24"/>
              </w:rPr>
              <w:t>02</w:t>
            </w:r>
            <w:r>
              <w:rPr>
                <w:rFonts w:hint="eastAsia" w:ascii="Times New Roman" w:hAnsi="Times New Roman"/>
                <w:b w:val="0"/>
                <w:bCs/>
                <w:sz w:val="24"/>
                <w:szCs w:val="24"/>
                <w:lang w:val="en-US" w:eastAsia="zh-CN"/>
              </w:rPr>
              <w:t>2-</w:t>
            </w:r>
            <w:r>
              <w:rPr>
                <w:rFonts w:hint="eastAsia" w:ascii="Times New Roman" w:hAnsi="Times New Roman"/>
                <w:b w:val="0"/>
                <w:bCs/>
                <w:sz w:val="24"/>
                <w:szCs w:val="24"/>
              </w:rPr>
              <w:t>202</w:t>
            </w:r>
            <w:r>
              <w:rPr>
                <w:rFonts w:hint="eastAsia" w:ascii="Times New Roman" w:hAnsi="Times New Roman"/>
                <w:b w:val="0"/>
                <w:bCs/>
                <w:sz w:val="24"/>
                <w:szCs w:val="24"/>
                <w:lang w:val="en-US" w:eastAsia="zh-CN"/>
              </w:rPr>
              <w:t>4</w:t>
            </w:r>
            <w:r>
              <w:rPr>
                <w:rFonts w:hint="eastAsia" w:ascii="Times New Roman" w:hAnsi="Times New Roman"/>
                <w:b w:val="0"/>
                <w:bCs/>
                <w:sz w:val="24"/>
                <w:szCs w:val="24"/>
              </w:rPr>
              <w:t>年度业绩清单为准）</w:t>
            </w:r>
            <w:r>
              <w:rPr>
                <w:rFonts w:hint="eastAsia" w:ascii="Times New Roman" w:hAnsi="Times New Roman"/>
                <w:b w:val="0"/>
                <w:bCs/>
                <w:sz w:val="24"/>
                <w:szCs w:val="24"/>
                <w:lang w:eastAsia="zh-CN"/>
              </w:rPr>
              <w:t>，</w:t>
            </w:r>
            <w:r>
              <w:rPr>
                <w:rFonts w:hint="eastAsia" w:ascii="Times New Roman" w:hAnsi="Times New Roman" w:cs="宋体"/>
                <w:color w:val="000000"/>
                <w:sz w:val="24"/>
                <w:szCs w:val="24"/>
              </w:rPr>
              <w:t>有1个得1分，最高10分</w:t>
            </w:r>
            <w:r>
              <w:rPr>
                <w:rFonts w:hint="eastAsia" w:ascii="Times New Roman" w:hAnsi="Times New Roman" w:cs="宋体"/>
                <w:b w:val="0"/>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90" w:type="dxa"/>
            <w:noWrap w:val="0"/>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8</w:t>
            </w:r>
          </w:p>
        </w:tc>
        <w:tc>
          <w:tcPr>
            <w:tcW w:w="2291" w:type="dxa"/>
            <w:noWrap w:val="0"/>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服务团队</w:t>
            </w:r>
          </w:p>
        </w:tc>
        <w:tc>
          <w:tcPr>
            <w:tcW w:w="880" w:type="dxa"/>
            <w:noWrap w:val="0"/>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10分</w:t>
            </w:r>
          </w:p>
        </w:tc>
        <w:tc>
          <w:tcPr>
            <w:tcW w:w="6207" w:type="dxa"/>
            <w:noWrap w:val="0"/>
            <w:vAlign w:val="center"/>
          </w:tcPr>
          <w:p>
            <w:pPr>
              <w:spacing w:line="360" w:lineRule="auto"/>
              <w:rPr>
                <w:rFonts w:ascii="宋体" w:hAnsi="宋体" w:cs="仿宋"/>
                <w:sz w:val="24"/>
                <w:szCs w:val="24"/>
              </w:rPr>
            </w:pPr>
            <w:r>
              <w:rPr>
                <w:rFonts w:hint="eastAsia" w:ascii="宋体" w:hAnsi="宋体" w:cs="仿宋"/>
                <w:sz w:val="24"/>
                <w:szCs w:val="24"/>
              </w:rPr>
              <w:t>根据拟投入项目负责人的履历证书、职称水平、类似项目业绩经验等进行综合评审。</w:t>
            </w:r>
          </w:p>
          <w:p>
            <w:pPr>
              <w:spacing w:line="360" w:lineRule="auto"/>
              <w:rPr>
                <w:rFonts w:ascii="宋体" w:hAnsi="宋体" w:cs="仿宋"/>
                <w:sz w:val="24"/>
                <w:szCs w:val="24"/>
              </w:rPr>
            </w:pPr>
            <w:r>
              <w:rPr>
                <w:rFonts w:hint="eastAsia" w:ascii="宋体" w:hAnsi="宋体" w:cs="仿宋"/>
                <w:sz w:val="24"/>
                <w:szCs w:val="24"/>
              </w:rPr>
              <w:t>证书齐全、专业学历匹配、经验丰富得8-10分；</w:t>
            </w:r>
          </w:p>
          <w:p>
            <w:pPr>
              <w:spacing w:line="360" w:lineRule="auto"/>
              <w:rPr>
                <w:rFonts w:ascii="宋体" w:hAnsi="宋体" w:cs="仿宋"/>
                <w:sz w:val="24"/>
                <w:szCs w:val="24"/>
              </w:rPr>
            </w:pPr>
            <w:r>
              <w:rPr>
                <w:rFonts w:hint="eastAsia" w:ascii="宋体" w:hAnsi="宋体" w:cs="仿宋"/>
                <w:sz w:val="24"/>
                <w:szCs w:val="24"/>
              </w:rPr>
              <w:t>证书、经验一般得4-7分；</w:t>
            </w:r>
          </w:p>
          <w:p>
            <w:pPr>
              <w:spacing w:line="360" w:lineRule="auto"/>
              <w:rPr>
                <w:rFonts w:ascii="宋体" w:hAnsi="宋体" w:cs="宋体"/>
                <w:color w:val="000000"/>
                <w:sz w:val="24"/>
                <w:szCs w:val="24"/>
              </w:rPr>
            </w:pPr>
            <w:r>
              <w:rPr>
                <w:rFonts w:hint="eastAsia" w:ascii="宋体" w:hAnsi="宋体" w:cs="仿宋"/>
                <w:sz w:val="24"/>
                <w:szCs w:val="24"/>
              </w:rPr>
              <w:t>无证书、无经验得0-3分。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90" w:type="dxa"/>
            <w:noWrap w:val="0"/>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9</w:t>
            </w:r>
          </w:p>
        </w:tc>
        <w:tc>
          <w:tcPr>
            <w:tcW w:w="2291" w:type="dxa"/>
            <w:noWrap w:val="0"/>
            <w:vAlign w:val="center"/>
          </w:tcPr>
          <w:p>
            <w:pPr>
              <w:spacing w:line="360" w:lineRule="auto"/>
              <w:jc w:val="both"/>
              <w:rPr>
                <w:rFonts w:ascii="宋体" w:hAnsi="宋体" w:cs="宋体"/>
                <w:color w:val="000000"/>
                <w:sz w:val="24"/>
                <w:szCs w:val="24"/>
              </w:rPr>
            </w:pPr>
            <w:r>
              <w:rPr>
                <w:rFonts w:hint="eastAsia" w:ascii="宋体" w:hAnsi="宋体" w:cs="仿宋"/>
                <w:sz w:val="24"/>
                <w:szCs w:val="24"/>
              </w:rPr>
              <w:t>供应商硬件</w:t>
            </w:r>
          </w:p>
        </w:tc>
        <w:tc>
          <w:tcPr>
            <w:tcW w:w="880" w:type="dxa"/>
            <w:noWrap w:val="0"/>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5分</w:t>
            </w:r>
          </w:p>
        </w:tc>
        <w:tc>
          <w:tcPr>
            <w:tcW w:w="6207" w:type="dxa"/>
            <w:noWrap w:val="0"/>
            <w:vAlign w:val="top"/>
          </w:tcPr>
          <w:p>
            <w:pPr>
              <w:spacing w:line="360" w:lineRule="auto"/>
              <w:rPr>
                <w:rFonts w:ascii="宋体" w:hAnsi="宋体" w:cs="仿宋"/>
                <w:sz w:val="24"/>
                <w:szCs w:val="24"/>
              </w:rPr>
            </w:pPr>
            <w:r>
              <w:rPr>
                <w:rFonts w:hint="eastAsia" w:ascii="宋体" w:hAnsi="宋体" w:cs="仿宋"/>
                <w:sz w:val="24"/>
                <w:szCs w:val="24"/>
              </w:rPr>
              <w:t>供应商具有各类与开评标相关的评标会议室、监控室、评审设备等综合评审：</w:t>
            </w:r>
          </w:p>
          <w:p>
            <w:pPr>
              <w:spacing w:line="360" w:lineRule="auto"/>
              <w:rPr>
                <w:rFonts w:ascii="宋体" w:hAnsi="宋体" w:cs="仿宋"/>
                <w:sz w:val="24"/>
                <w:szCs w:val="24"/>
              </w:rPr>
            </w:pPr>
            <w:r>
              <w:rPr>
                <w:rFonts w:hint="eastAsia" w:ascii="宋体" w:hAnsi="宋体" w:cs="仿宋"/>
                <w:sz w:val="24"/>
                <w:szCs w:val="24"/>
              </w:rPr>
              <w:t>能充分满足批量项目集中实施要求，得5分；</w:t>
            </w:r>
          </w:p>
          <w:p>
            <w:pPr>
              <w:spacing w:line="360" w:lineRule="auto"/>
              <w:rPr>
                <w:rFonts w:ascii="宋体" w:hAnsi="宋体" w:cs="仿宋"/>
                <w:sz w:val="24"/>
                <w:szCs w:val="24"/>
              </w:rPr>
            </w:pPr>
            <w:r>
              <w:rPr>
                <w:rFonts w:hint="eastAsia" w:ascii="宋体" w:hAnsi="宋体" w:cs="仿宋"/>
                <w:sz w:val="24"/>
                <w:szCs w:val="24"/>
              </w:rPr>
              <w:t>能勉强满足批量项目集中实施要求，得3-4分；</w:t>
            </w:r>
          </w:p>
          <w:p>
            <w:pPr>
              <w:spacing w:line="360" w:lineRule="auto"/>
              <w:rPr>
                <w:rFonts w:ascii="宋体" w:hAnsi="宋体" w:cs="宋体"/>
                <w:color w:val="000000"/>
                <w:sz w:val="24"/>
                <w:szCs w:val="24"/>
              </w:rPr>
            </w:pPr>
            <w:r>
              <w:rPr>
                <w:rFonts w:hint="eastAsia" w:ascii="宋体" w:hAnsi="宋体" w:cs="仿宋"/>
                <w:sz w:val="24"/>
                <w:szCs w:val="24"/>
              </w:rPr>
              <w:t>较难满足批量项目集中实施要求，得0-2分；</w:t>
            </w:r>
          </w:p>
        </w:tc>
      </w:tr>
    </w:tbl>
    <w:p>
      <w:pPr>
        <w:pStyle w:val="4"/>
        <w:spacing w:line="360" w:lineRule="auto"/>
        <w:ind w:left="0" w:leftChars="0" w:firstLine="512" w:firstLineChars="200"/>
        <w:jc w:val="both"/>
        <w:rPr>
          <w:rFonts w:cs="宋体"/>
          <w:spacing w:val="8"/>
          <w:sz w:val="24"/>
          <w:szCs w:val="24"/>
        </w:rPr>
      </w:pPr>
    </w:p>
    <w:p>
      <w:pPr>
        <w:pageBreakBefore/>
        <w:spacing w:line="360" w:lineRule="auto"/>
        <w:jc w:val="center"/>
        <w:rPr>
          <w:rFonts w:ascii="Times New Roman" w:hAnsi="Times New Roman" w:eastAsia="宋体" w:cs="Times New Roman"/>
          <w:b/>
          <w:kern w:val="28"/>
          <w:sz w:val="28"/>
          <w:szCs w:val="28"/>
        </w:rPr>
      </w:pPr>
      <w:r>
        <w:rPr>
          <w:rFonts w:hint="eastAsia" w:ascii="Times New Roman" w:hAnsi="Times New Roman" w:eastAsia="宋体" w:cs="Times New Roman"/>
          <w:b/>
          <w:kern w:val="28"/>
          <w:sz w:val="28"/>
          <w:szCs w:val="28"/>
        </w:rPr>
        <w:t>第五章、 授予合同</w:t>
      </w:r>
    </w:p>
    <w:p>
      <w:pPr>
        <w:spacing w:line="360" w:lineRule="auto"/>
        <w:outlineLvl w:val="0"/>
        <w:rPr>
          <w:rFonts w:ascii="Times New Roman" w:hAnsi="Times New Roman"/>
          <w:color w:val="000000"/>
          <w:sz w:val="24"/>
        </w:rPr>
      </w:pPr>
      <w:r>
        <w:rPr>
          <w:rFonts w:hint="eastAsia" w:ascii="Times New Roman" w:hAnsi="Times New Roman"/>
          <w:color w:val="000000"/>
          <w:sz w:val="24"/>
        </w:rPr>
        <w:t>1、确认中选人</w:t>
      </w:r>
    </w:p>
    <w:p>
      <w:pPr>
        <w:spacing w:line="360" w:lineRule="auto"/>
        <w:ind w:left="425"/>
        <w:outlineLvl w:val="0"/>
        <w:rPr>
          <w:rFonts w:ascii="Times New Roman" w:hAnsi="Times New Roman"/>
          <w:color w:val="000000"/>
          <w:sz w:val="24"/>
        </w:rPr>
      </w:pPr>
      <w:r>
        <w:rPr>
          <w:rFonts w:hint="eastAsia" w:ascii="Times New Roman" w:hAnsi="Times New Roman"/>
          <w:color w:val="000000"/>
          <w:sz w:val="24"/>
        </w:rPr>
        <w:t>（1）招标人应按照第四章中之规定，根据评审委员会所推荐的中选候选人</w:t>
      </w:r>
      <w:r>
        <w:rPr>
          <w:rFonts w:ascii="Times New Roman" w:hAnsi="Times New Roman"/>
          <w:color w:val="000000"/>
          <w:sz w:val="24"/>
        </w:rPr>
        <w:t>确定中选人</w:t>
      </w:r>
      <w:r>
        <w:rPr>
          <w:rFonts w:hint="eastAsia" w:ascii="Times New Roman" w:hAnsi="Times New Roman"/>
          <w:color w:val="000000"/>
          <w:sz w:val="24"/>
        </w:rPr>
        <w:t>。</w:t>
      </w:r>
    </w:p>
    <w:p>
      <w:pPr>
        <w:spacing w:line="360" w:lineRule="auto"/>
        <w:ind w:left="425"/>
        <w:outlineLvl w:val="0"/>
        <w:rPr>
          <w:rFonts w:ascii="Times New Roman" w:hAnsi="Times New Roman"/>
          <w:color w:val="000000"/>
          <w:sz w:val="24"/>
        </w:rPr>
      </w:pPr>
      <w:r>
        <w:rPr>
          <w:rFonts w:hint="eastAsia" w:ascii="Times New Roman" w:hAnsi="Times New Roman"/>
          <w:color w:val="000000"/>
          <w:sz w:val="24"/>
        </w:rPr>
        <w:t>（2）若所确定的中选候选人放弃中选、因不可抗力不能履行合同、不按照遴选文件要求，或者被查实存在影响中选结果的违法行为等情形，不符合中选条件的，采购人可以按照评审委员会提出的中选候选人名单排序依次确定其他中选候选人为中选人，也可以重新遴选。</w:t>
      </w:r>
    </w:p>
    <w:p>
      <w:pPr>
        <w:spacing w:line="360" w:lineRule="auto"/>
        <w:outlineLvl w:val="0"/>
        <w:rPr>
          <w:rFonts w:ascii="Times New Roman" w:hAnsi="Times New Roman"/>
          <w:color w:val="000000"/>
          <w:sz w:val="24"/>
        </w:rPr>
      </w:pPr>
      <w:r>
        <w:rPr>
          <w:rFonts w:hint="eastAsia" w:ascii="Times New Roman" w:hAnsi="Times New Roman"/>
          <w:color w:val="000000"/>
          <w:sz w:val="24"/>
        </w:rPr>
        <w:t>2、中选通知书</w:t>
      </w:r>
    </w:p>
    <w:p>
      <w:pPr>
        <w:spacing w:line="360" w:lineRule="auto"/>
        <w:ind w:left="425"/>
        <w:outlineLvl w:val="0"/>
        <w:rPr>
          <w:rFonts w:ascii="Times New Roman" w:hAnsi="Times New Roman"/>
          <w:color w:val="000000"/>
          <w:sz w:val="24"/>
        </w:rPr>
      </w:pPr>
      <w:r>
        <w:rPr>
          <w:rFonts w:hint="eastAsia" w:ascii="Times New Roman" w:hAnsi="Times New Roman"/>
          <w:color w:val="000000"/>
          <w:sz w:val="24"/>
        </w:rPr>
        <w:t>（1）中选人确定后，采购人将向中选人发出《中选通知书》。</w:t>
      </w:r>
    </w:p>
    <w:p>
      <w:pPr>
        <w:spacing w:line="360" w:lineRule="auto"/>
        <w:ind w:left="425"/>
        <w:outlineLvl w:val="0"/>
        <w:rPr>
          <w:rFonts w:ascii="Times New Roman" w:hAnsi="Times New Roman"/>
          <w:color w:val="000000"/>
          <w:sz w:val="24"/>
        </w:rPr>
      </w:pPr>
      <w:r>
        <w:rPr>
          <w:rFonts w:hint="eastAsia" w:ascii="Times New Roman" w:hAnsi="Times New Roman"/>
          <w:color w:val="000000"/>
          <w:sz w:val="24"/>
        </w:rPr>
        <w:t>（2）《中选通知书》是合同的一个组成部分。</w:t>
      </w:r>
    </w:p>
    <w:p>
      <w:pPr>
        <w:spacing w:line="360" w:lineRule="auto"/>
        <w:outlineLvl w:val="0"/>
        <w:rPr>
          <w:rFonts w:ascii="Times New Roman" w:hAnsi="Times New Roman"/>
          <w:color w:val="000000"/>
          <w:sz w:val="24"/>
        </w:rPr>
      </w:pPr>
      <w:r>
        <w:rPr>
          <w:rFonts w:hint="eastAsia" w:ascii="Times New Roman" w:hAnsi="Times New Roman"/>
          <w:color w:val="000000"/>
          <w:sz w:val="24"/>
        </w:rPr>
        <w:t>3、签订合同</w:t>
      </w:r>
    </w:p>
    <w:p>
      <w:pPr>
        <w:spacing w:line="360" w:lineRule="auto"/>
        <w:ind w:firstLine="480" w:firstLineChars="200"/>
        <w:outlineLvl w:val="0"/>
        <w:rPr>
          <w:rFonts w:ascii="Times New Roman" w:hAnsi="Times New Roman"/>
          <w:color w:val="000000"/>
          <w:sz w:val="24"/>
        </w:rPr>
      </w:pPr>
      <w:r>
        <w:rPr>
          <w:rFonts w:hint="eastAsia" w:ascii="Times New Roman" w:hAnsi="Times New Roman"/>
          <w:color w:val="000000"/>
          <w:sz w:val="24"/>
        </w:rPr>
        <w:t>《中选通知书》发出后规定期限内，中选人应按照遴选文件和中选人的响应文件订立书面合同。中选人不得与采购人再订立背离合同实质性内容的其他协议。</w:t>
      </w:r>
    </w:p>
    <w:p>
      <w:pPr>
        <w:spacing w:line="360" w:lineRule="auto"/>
        <w:outlineLvl w:val="0"/>
        <w:rPr>
          <w:rFonts w:ascii="Times New Roman" w:hAnsi="Times New Roman"/>
          <w:color w:val="000000"/>
          <w:sz w:val="24"/>
        </w:rPr>
      </w:pPr>
      <w:r>
        <w:rPr>
          <w:rFonts w:hint="eastAsia" w:ascii="Times New Roman" w:hAnsi="Times New Roman"/>
          <w:color w:val="000000"/>
          <w:sz w:val="24"/>
        </w:rPr>
        <w:t>4、法律适用</w:t>
      </w:r>
    </w:p>
    <w:p>
      <w:pPr>
        <w:spacing w:line="360" w:lineRule="auto"/>
        <w:ind w:left="425"/>
        <w:outlineLvl w:val="0"/>
        <w:rPr>
          <w:rFonts w:ascii="Times New Roman" w:hAnsi="Times New Roman"/>
          <w:color w:val="000000"/>
          <w:sz w:val="24"/>
        </w:rPr>
      </w:pPr>
      <w:r>
        <w:rPr>
          <w:rFonts w:hint="eastAsia" w:ascii="Times New Roman" w:hAnsi="Times New Roman"/>
          <w:color w:val="000000"/>
          <w:sz w:val="24"/>
        </w:rPr>
        <w:t>本次遴选及由本次遴选产生的合同受中国法律制约和保护。</w:t>
      </w:r>
    </w:p>
    <w:p>
      <w:pPr>
        <w:pStyle w:val="4"/>
        <w:spacing w:line="360" w:lineRule="auto"/>
        <w:ind w:left="0" w:leftChars="0"/>
        <w:jc w:val="center"/>
        <w:rPr>
          <w:b/>
          <w:kern w:val="28"/>
          <w:sz w:val="28"/>
          <w:szCs w:val="28"/>
        </w:rPr>
      </w:pPr>
      <w:r>
        <w:rPr>
          <w:b/>
          <w:kern w:val="28"/>
          <w:sz w:val="28"/>
          <w:szCs w:val="28"/>
        </w:rPr>
        <w:br w:type="page"/>
      </w:r>
      <w:r>
        <w:rPr>
          <w:rFonts w:hint="eastAsia"/>
          <w:b/>
          <w:kern w:val="28"/>
          <w:sz w:val="28"/>
          <w:szCs w:val="28"/>
        </w:rPr>
        <w:t>第六章 遴选响应格式文件</w:t>
      </w:r>
    </w:p>
    <w:p>
      <w:pPr>
        <w:spacing w:line="360" w:lineRule="auto"/>
        <w:jc w:val="center"/>
        <w:outlineLvl w:val="0"/>
        <w:rPr>
          <w:rFonts w:ascii="Times New Roman" w:hAnsi="Times New Roman"/>
          <w:b/>
          <w:sz w:val="24"/>
          <w:szCs w:val="24"/>
        </w:rPr>
      </w:pPr>
    </w:p>
    <w:p>
      <w:pPr>
        <w:spacing w:line="360" w:lineRule="auto"/>
        <w:jc w:val="center"/>
        <w:rPr>
          <w:rFonts w:ascii="Times New Roman" w:hAnsi="Times New Roman"/>
          <w:sz w:val="24"/>
          <w:szCs w:val="24"/>
        </w:rPr>
      </w:pPr>
      <w:r>
        <w:rPr>
          <w:rFonts w:hint="eastAsia" w:ascii="Times New Roman" w:hAnsi="Times New Roman"/>
          <w:b/>
          <w:sz w:val="24"/>
          <w:szCs w:val="24"/>
        </w:rPr>
        <w:t xml:space="preserve">附件一  </w:t>
      </w:r>
      <w:r>
        <w:rPr>
          <w:rFonts w:hint="eastAsia" w:ascii="Times New Roman" w:hAnsi="Times New Roman" w:cs="宋体"/>
          <w:b/>
          <w:spacing w:val="1"/>
          <w:sz w:val="24"/>
          <w:szCs w:val="24"/>
        </w:rPr>
        <w:t>招标代理机构</w:t>
      </w:r>
      <w:r>
        <w:rPr>
          <w:rFonts w:hint="eastAsia" w:ascii="Times New Roman" w:hAnsi="Times New Roman"/>
          <w:b/>
          <w:sz w:val="24"/>
          <w:szCs w:val="24"/>
        </w:rPr>
        <w:t>基本情况</w:t>
      </w:r>
    </w:p>
    <w:tbl>
      <w:tblPr>
        <w:tblStyle w:val="10"/>
        <w:tblpPr w:leftFromText="180" w:rightFromText="180" w:vertAnchor="text" w:horzAnchor="page" w:tblpX="1261" w:tblpY="223"/>
        <w:tblOverlap w:val="never"/>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17"/>
        <w:gridCol w:w="1276"/>
        <w:gridCol w:w="1701"/>
        <w:gridCol w:w="170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2093" w:type="dxa"/>
            <w:vAlign w:val="center"/>
          </w:tcPr>
          <w:p>
            <w:pPr>
              <w:snapToGrid w:val="0"/>
              <w:spacing w:line="360" w:lineRule="auto"/>
              <w:jc w:val="center"/>
              <w:rPr>
                <w:rFonts w:ascii="Times New Roman" w:hAnsi="Times New Roman"/>
                <w:b/>
              </w:rPr>
            </w:pPr>
            <w:r>
              <w:rPr>
                <w:rFonts w:hint="eastAsia" w:ascii="Times New Roman" w:hAnsi="Times New Roman"/>
                <w:b/>
              </w:rPr>
              <w:t>公司</w:t>
            </w:r>
            <w:r>
              <w:rPr>
                <w:rFonts w:ascii="Times New Roman" w:hAnsi="Times New Roman"/>
                <w:b/>
              </w:rPr>
              <w:t>名称</w:t>
            </w:r>
          </w:p>
        </w:tc>
        <w:tc>
          <w:tcPr>
            <w:tcW w:w="1417" w:type="dxa"/>
            <w:vAlign w:val="center"/>
          </w:tcPr>
          <w:p>
            <w:pPr>
              <w:snapToGrid w:val="0"/>
              <w:spacing w:line="360" w:lineRule="auto"/>
              <w:jc w:val="center"/>
              <w:rPr>
                <w:rFonts w:ascii="Times New Roman" w:hAnsi="Times New Roman"/>
                <w:b/>
              </w:rPr>
            </w:pPr>
            <w:r>
              <w:rPr>
                <w:rFonts w:ascii="Times New Roman" w:hAnsi="Times New Roman"/>
                <w:b/>
              </w:rPr>
              <w:t>注册年度及注册编号</w:t>
            </w:r>
          </w:p>
        </w:tc>
        <w:tc>
          <w:tcPr>
            <w:tcW w:w="1276" w:type="dxa"/>
            <w:vAlign w:val="center"/>
          </w:tcPr>
          <w:p>
            <w:pPr>
              <w:snapToGrid w:val="0"/>
              <w:spacing w:line="360" w:lineRule="auto"/>
              <w:jc w:val="center"/>
              <w:rPr>
                <w:rFonts w:ascii="Times New Roman" w:hAnsi="Times New Roman"/>
                <w:b/>
              </w:rPr>
            </w:pPr>
            <w:r>
              <w:rPr>
                <w:rFonts w:ascii="Times New Roman" w:hAnsi="Times New Roman"/>
                <w:b/>
              </w:rPr>
              <w:t>注册资金</w:t>
            </w:r>
          </w:p>
          <w:p>
            <w:pPr>
              <w:snapToGrid w:val="0"/>
              <w:spacing w:line="360" w:lineRule="auto"/>
              <w:jc w:val="center"/>
              <w:rPr>
                <w:rFonts w:ascii="Times New Roman" w:hAnsi="Times New Roman"/>
                <w:b/>
              </w:rPr>
            </w:pPr>
            <w:r>
              <w:rPr>
                <w:rFonts w:ascii="Times New Roman" w:hAnsi="Times New Roman"/>
                <w:b/>
              </w:rPr>
              <w:t>（万元）</w:t>
            </w:r>
          </w:p>
        </w:tc>
        <w:tc>
          <w:tcPr>
            <w:tcW w:w="5245" w:type="dxa"/>
            <w:gridSpan w:val="3"/>
            <w:vAlign w:val="center"/>
          </w:tcPr>
          <w:p>
            <w:pPr>
              <w:snapToGrid w:val="0"/>
              <w:spacing w:line="360" w:lineRule="auto"/>
              <w:jc w:val="center"/>
              <w:rPr>
                <w:rFonts w:ascii="Times New Roman" w:hAnsi="Times New Roman"/>
                <w:b/>
              </w:rPr>
            </w:pPr>
            <w:r>
              <w:rPr>
                <w:rFonts w:ascii="Times New Roman" w:hAnsi="Times New Roman"/>
                <w:b/>
              </w:rPr>
              <w:t>资格（资质）证书批准单位、登记、批准时间及编号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4" w:hRule="atLeast"/>
        </w:trPr>
        <w:tc>
          <w:tcPr>
            <w:tcW w:w="2093" w:type="dxa"/>
            <w:vAlign w:val="center"/>
          </w:tcPr>
          <w:p>
            <w:pPr>
              <w:snapToGrid w:val="0"/>
              <w:spacing w:line="360" w:lineRule="auto"/>
              <w:jc w:val="center"/>
              <w:rPr>
                <w:rFonts w:ascii="Times New Roman" w:hAnsi="Times New Roman"/>
                <w:sz w:val="24"/>
              </w:rPr>
            </w:pPr>
          </w:p>
        </w:tc>
        <w:tc>
          <w:tcPr>
            <w:tcW w:w="1417" w:type="dxa"/>
            <w:vAlign w:val="center"/>
          </w:tcPr>
          <w:p>
            <w:pPr>
              <w:snapToGrid w:val="0"/>
              <w:spacing w:line="360" w:lineRule="auto"/>
              <w:rPr>
                <w:rFonts w:ascii="Times New Roman" w:hAnsi="Times New Roman"/>
                <w:sz w:val="24"/>
              </w:rPr>
            </w:pPr>
          </w:p>
        </w:tc>
        <w:tc>
          <w:tcPr>
            <w:tcW w:w="1276" w:type="dxa"/>
            <w:vAlign w:val="center"/>
          </w:tcPr>
          <w:p>
            <w:pPr>
              <w:snapToGrid w:val="0"/>
              <w:spacing w:line="360" w:lineRule="auto"/>
              <w:jc w:val="center"/>
              <w:rPr>
                <w:rFonts w:ascii="Times New Roman" w:hAnsi="Times New Roman"/>
                <w:sz w:val="24"/>
              </w:rPr>
            </w:pPr>
          </w:p>
        </w:tc>
        <w:tc>
          <w:tcPr>
            <w:tcW w:w="5245" w:type="dxa"/>
            <w:gridSpan w:val="3"/>
            <w:vAlign w:val="center"/>
          </w:tcPr>
          <w:p>
            <w:pPr>
              <w:snapToGrid w:val="0"/>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093" w:type="dxa"/>
            <w:vAlign w:val="center"/>
          </w:tcPr>
          <w:p>
            <w:pPr>
              <w:snapToGrid w:val="0"/>
              <w:spacing w:line="360" w:lineRule="auto"/>
              <w:jc w:val="center"/>
              <w:rPr>
                <w:rFonts w:ascii="Times New Roman" w:hAnsi="Times New Roman"/>
                <w:b/>
              </w:rPr>
            </w:pPr>
            <w:r>
              <w:rPr>
                <w:rFonts w:ascii="Times New Roman" w:hAnsi="Times New Roman"/>
                <w:b/>
              </w:rPr>
              <w:t>统一社会信用代码</w:t>
            </w:r>
          </w:p>
        </w:tc>
        <w:tc>
          <w:tcPr>
            <w:tcW w:w="1417" w:type="dxa"/>
            <w:vAlign w:val="center"/>
          </w:tcPr>
          <w:p>
            <w:pPr>
              <w:snapToGrid w:val="0"/>
              <w:spacing w:line="360" w:lineRule="auto"/>
              <w:jc w:val="center"/>
              <w:rPr>
                <w:rFonts w:ascii="Times New Roman" w:hAnsi="Times New Roman"/>
                <w:b/>
              </w:rPr>
            </w:pPr>
            <w:r>
              <w:rPr>
                <w:rFonts w:ascii="Times New Roman" w:hAnsi="Times New Roman"/>
                <w:b/>
              </w:rPr>
              <w:t>经营场所</w:t>
            </w:r>
          </w:p>
          <w:p>
            <w:pPr>
              <w:snapToGrid w:val="0"/>
              <w:spacing w:line="360" w:lineRule="auto"/>
              <w:jc w:val="center"/>
              <w:rPr>
                <w:rFonts w:ascii="Times New Roman" w:hAnsi="Times New Roman"/>
                <w:b/>
              </w:rPr>
            </w:pPr>
            <w:r>
              <w:rPr>
                <w:rFonts w:hint="eastAsia" w:ascii="Times New Roman" w:hAnsi="Times New Roman"/>
                <w:b/>
              </w:rPr>
              <w:t>地址</w:t>
            </w:r>
          </w:p>
        </w:tc>
        <w:tc>
          <w:tcPr>
            <w:tcW w:w="1276" w:type="dxa"/>
            <w:vAlign w:val="center"/>
          </w:tcPr>
          <w:p>
            <w:pPr>
              <w:snapToGrid w:val="0"/>
              <w:spacing w:line="360" w:lineRule="auto"/>
              <w:jc w:val="center"/>
              <w:rPr>
                <w:rFonts w:ascii="Times New Roman" w:hAnsi="Times New Roman"/>
                <w:b/>
              </w:rPr>
            </w:pPr>
            <w:r>
              <w:rPr>
                <w:rFonts w:hint="eastAsia" w:ascii="Times New Roman" w:hAnsi="Times New Roman"/>
                <w:b/>
              </w:rPr>
              <w:t>经营场所</w:t>
            </w:r>
          </w:p>
          <w:p>
            <w:pPr>
              <w:snapToGrid w:val="0"/>
              <w:spacing w:line="360" w:lineRule="auto"/>
              <w:jc w:val="center"/>
              <w:rPr>
                <w:rFonts w:ascii="Times New Roman" w:hAnsi="Times New Roman"/>
                <w:b/>
              </w:rPr>
            </w:pPr>
            <w:r>
              <w:rPr>
                <w:rFonts w:hint="eastAsia" w:ascii="Times New Roman" w:hAnsi="Times New Roman"/>
                <w:b/>
              </w:rPr>
              <w:t>面积</w:t>
            </w:r>
          </w:p>
        </w:tc>
        <w:tc>
          <w:tcPr>
            <w:tcW w:w="1701" w:type="dxa"/>
            <w:vAlign w:val="center"/>
          </w:tcPr>
          <w:p>
            <w:pPr>
              <w:snapToGrid w:val="0"/>
              <w:spacing w:line="360" w:lineRule="auto"/>
              <w:jc w:val="center"/>
              <w:rPr>
                <w:rFonts w:ascii="Times New Roman" w:hAnsi="Times New Roman"/>
                <w:b/>
              </w:rPr>
            </w:pPr>
            <w:r>
              <w:rPr>
                <w:rFonts w:hint="eastAsia" w:ascii="Times New Roman" w:hAnsi="Times New Roman"/>
                <w:b/>
                <w:bCs/>
                <w:szCs w:val="21"/>
              </w:rPr>
              <w:t>近两年上海地区</w:t>
            </w:r>
            <w:r>
              <w:rPr>
                <w:rFonts w:hint="eastAsia" w:ascii="Times New Roman" w:hAnsi="Times New Roman"/>
                <w:b/>
                <w:szCs w:val="21"/>
              </w:rPr>
              <w:t>医疗机构</w:t>
            </w:r>
            <w:r>
              <w:rPr>
                <w:rFonts w:hint="eastAsia" w:ascii="宋体" w:hAnsi="Courier New"/>
                <w:b/>
                <w:szCs w:val="21"/>
              </w:rPr>
              <w:t>相关专业类设备设施、维修维保服务、货物设备购置安装</w:t>
            </w:r>
            <w:r>
              <w:rPr>
                <w:rFonts w:hint="eastAsia" w:ascii="Times New Roman" w:hAnsi="Times New Roman"/>
                <w:b/>
                <w:bCs/>
                <w:szCs w:val="21"/>
              </w:rPr>
              <w:t>招标采购的三甲医院</w:t>
            </w:r>
            <w:r>
              <w:rPr>
                <w:rFonts w:hint="eastAsia" w:ascii="Times New Roman" w:hAnsi="Times New Roman"/>
                <w:b/>
              </w:rPr>
              <w:t>数量</w:t>
            </w:r>
          </w:p>
        </w:tc>
        <w:tc>
          <w:tcPr>
            <w:tcW w:w="1701" w:type="dxa"/>
            <w:vAlign w:val="center"/>
          </w:tcPr>
          <w:p>
            <w:pPr>
              <w:snapToGrid w:val="0"/>
              <w:spacing w:line="360" w:lineRule="auto"/>
              <w:jc w:val="center"/>
              <w:rPr>
                <w:rFonts w:ascii="Times New Roman" w:hAnsi="Times New Roman"/>
                <w:b/>
              </w:rPr>
            </w:pPr>
            <w:r>
              <w:rPr>
                <w:rFonts w:hint="eastAsia" w:ascii="Times New Roman" w:hAnsi="Times New Roman"/>
                <w:b/>
              </w:rPr>
              <w:t>近两年上海地区医疗机构</w:t>
            </w:r>
            <w:r>
              <w:rPr>
                <w:rFonts w:hint="eastAsia" w:ascii="宋体" w:hAnsi="Courier New"/>
                <w:b/>
                <w:szCs w:val="21"/>
              </w:rPr>
              <w:t>相关专业类设备设施、维修维保服务、货物设备购置安装</w:t>
            </w:r>
            <w:r>
              <w:rPr>
                <w:rFonts w:hint="eastAsia" w:ascii="Times New Roman" w:hAnsi="Times New Roman"/>
                <w:b/>
                <w:szCs w:val="21"/>
              </w:rPr>
              <w:t>招标采购项</w:t>
            </w:r>
            <w:r>
              <w:rPr>
                <w:rFonts w:hint="eastAsia" w:ascii="Times New Roman" w:hAnsi="Times New Roman"/>
                <w:b/>
              </w:rPr>
              <w:t>目数量</w:t>
            </w:r>
          </w:p>
        </w:tc>
        <w:tc>
          <w:tcPr>
            <w:tcW w:w="1843" w:type="dxa"/>
            <w:vAlign w:val="center"/>
          </w:tcPr>
          <w:p>
            <w:pPr>
              <w:snapToGrid w:val="0"/>
              <w:spacing w:line="360" w:lineRule="auto"/>
              <w:jc w:val="center"/>
              <w:rPr>
                <w:rFonts w:ascii="Times New Roman" w:hAnsi="Times New Roman"/>
                <w:b/>
              </w:rPr>
            </w:pPr>
            <w:r>
              <w:rPr>
                <w:rFonts w:hint="eastAsia" w:ascii="Times New Roman" w:hAnsi="Times New Roman"/>
                <w:b/>
              </w:rPr>
              <w:t>近两年上海地区医疗机构</w:t>
            </w:r>
            <w:r>
              <w:rPr>
                <w:rFonts w:hint="eastAsia" w:ascii="宋体" w:hAnsi="Courier New"/>
                <w:b/>
                <w:szCs w:val="21"/>
              </w:rPr>
              <w:t>相关专业类设备设施、维修维保服务、货物设备购置安装</w:t>
            </w:r>
            <w:r>
              <w:rPr>
                <w:rFonts w:hint="eastAsia" w:ascii="Times New Roman" w:hAnsi="Times New Roman"/>
                <w:b/>
                <w:szCs w:val="21"/>
              </w:rPr>
              <w:t>招标采</w:t>
            </w:r>
            <w:r>
              <w:rPr>
                <w:rFonts w:hint="eastAsia" w:ascii="Times New Roman" w:hAnsi="Times New Roman"/>
                <w:b/>
              </w:rPr>
              <w:t>购金额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2093" w:type="dxa"/>
            <w:vAlign w:val="center"/>
          </w:tcPr>
          <w:p>
            <w:pPr>
              <w:snapToGrid w:val="0"/>
              <w:spacing w:line="360" w:lineRule="auto"/>
              <w:jc w:val="center"/>
              <w:rPr>
                <w:rFonts w:ascii="Times New Roman" w:hAnsi="Times New Roman"/>
              </w:rPr>
            </w:pPr>
          </w:p>
        </w:tc>
        <w:tc>
          <w:tcPr>
            <w:tcW w:w="1417" w:type="dxa"/>
            <w:vAlign w:val="center"/>
          </w:tcPr>
          <w:p>
            <w:pPr>
              <w:snapToGrid w:val="0"/>
              <w:spacing w:line="360" w:lineRule="auto"/>
              <w:jc w:val="center"/>
              <w:rPr>
                <w:rFonts w:ascii="Times New Roman" w:hAnsi="Times New Roman"/>
              </w:rPr>
            </w:pPr>
          </w:p>
        </w:tc>
        <w:tc>
          <w:tcPr>
            <w:tcW w:w="1276" w:type="dxa"/>
            <w:vAlign w:val="center"/>
          </w:tcPr>
          <w:p>
            <w:pPr>
              <w:snapToGrid w:val="0"/>
              <w:spacing w:line="360" w:lineRule="auto"/>
              <w:jc w:val="center"/>
              <w:rPr>
                <w:rFonts w:ascii="Times New Roman" w:hAnsi="Times New Roman"/>
              </w:rPr>
            </w:pPr>
          </w:p>
        </w:tc>
        <w:tc>
          <w:tcPr>
            <w:tcW w:w="1701" w:type="dxa"/>
            <w:vAlign w:val="center"/>
          </w:tcPr>
          <w:p>
            <w:pPr>
              <w:snapToGrid w:val="0"/>
              <w:spacing w:line="360" w:lineRule="auto"/>
              <w:jc w:val="center"/>
              <w:rPr>
                <w:rFonts w:ascii="Times New Roman" w:hAnsi="Times New Roman"/>
              </w:rPr>
            </w:pPr>
          </w:p>
        </w:tc>
        <w:tc>
          <w:tcPr>
            <w:tcW w:w="1701" w:type="dxa"/>
            <w:vAlign w:val="center"/>
          </w:tcPr>
          <w:p>
            <w:pPr>
              <w:snapToGrid w:val="0"/>
              <w:spacing w:line="360" w:lineRule="auto"/>
              <w:jc w:val="center"/>
              <w:rPr>
                <w:rFonts w:ascii="Times New Roman" w:hAnsi="Times New Roman"/>
              </w:rPr>
            </w:pPr>
          </w:p>
        </w:tc>
        <w:tc>
          <w:tcPr>
            <w:tcW w:w="1843" w:type="dxa"/>
            <w:vAlign w:val="center"/>
          </w:tcPr>
          <w:p>
            <w:pPr>
              <w:snapToGrid w:val="0"/>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10031" w:type="dxa"/>
            <w:gridSpan w:val="6"/>
            <w:vAlign w:val="center"/>
          </w:tcPr>
          <w:p>
            <w:pPr>
              <w:snapToGrid w:val="0"/>
              <w:spacing w:line="360" w:lineRule="auto"/>
              <w:jc w:val="center"/>
              <w:rPr>
                <w:rFonts w:ascii="Times New Roman" w:hAnsi="Times New Roman"/>
                <w:b/>
              </w:rPr>
            </w:pPr>
            <w:r>
              <w:rPr>
                <w:rFonts w:hint="eastAsia" w:ascii="Times New Roman" w:hAnsi="Times New Roman"/>
                <w:b/>
              </w:rPr>
              <w:t>企业荣誉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10031" w:type="dxa"/>
            <w:gridSpan w:val="6"/>
            <w:vAlign w:val="center"/>
          </w:tcPr>
          <w:p>
            <w:pPr>
              <w:snapToGrid w:val="0"/>
              <w:spacing w:line="360" w:lineRule="auto"/>
              <w:rPr>
                <w:rFonts w:ascii="Times New Roman" w:hAnsi="Times New Roman"/>
              </w:rPr>
            </w:pPr>
          </w:p>
        </w:tc>
      </w:tr>
    </w:tbl>
    <w:p>
      <w:pPr>
        <w:spacing w:line="360" w:lineRule="auto"/>
        <w:rPr>
          <w:rFonts w:ascii="Times New Roman" w:hAnsi="Times New Roman"/>
          <w:sz w:val="24"/>
          <w:szCs w:val="24"/>
        </w:rPr>
      </w:pPr>
    </w:p>
    <w:p>
      <w:pPr>
        <w:spacing w:line="360" w:lineRule="auto"/>
        <w:rPr>
          <w:rFonts w:ascii="Times New Roman" w:hAnsi="Times New Roman"/>
          <w:sz w:val="24"/>
          <w:szCs w:val="24"/>
        </w:rPr>
      </w:pPr>
      <w:r>
        <w:rPr>
          <w:rFonts w:hint="eastAsia" w:ascii="Times New Roman" w:hAnsi="Times New Roman"/>
          <w:sz w:val="24"/>
          <w:szCs w:val="24"/>
        </w:rPr>
        <w:t>招标代理机构名称</w:t>
      </w:r>
      <w:r>
        <w:rPr>
          <w:rFonts w:ascii="Times New Roman" w:hAnsi="Times New Roman"/>
          <w:sz w:val="24"/>
          <w:szCs w:val="24"/>
        </w:rPr>
        <w:t>:</w:t>
      </w:r>
      <w:r>
        <w:rPr>
          <w:rFonts w:hint="eastAsia" w:ascii="Times New Roman" w:hAnsi="Times New Roman"/>
          <w:sz w:val="24"/>
          <w:szCs w:val="24"/>
        </w:rPr>
        <w:t>___________________</w:t>
      </w:r>
    </w:p>
    <w:p>
      <w:pPr>
        <w:spacing w:line="360" w:lineRule="auto"/>
        <w:rPr>
          <w:rFonts w:ascii="Times New Roman" w:hAnsi="Times New Roman"/>
          <w:sz w:val="24"/>
          <w:szCs w:val="24"/>
        </w:rPr>
      </w:pPr>
      <w:r>
        <w:rPr>
          <w:rFonts w:hint="eastAsia" w:ascii="Times New Roman" w:hAnsi="Times New Roman"/>
          <w:sz w:val="24"/>
          <w:szCs w:val="24"/>
        </w:rPr>
        <w:t>公章：________________________</w:t>
      </w:r>
    </w:p>
    <w:p>
      <w:pPr>
        <w:spacing w:line="360" w:lineRule="auto"/>
        <w:rPr>
          <w:rFonts w:ascii="Times New Roman" w:hAnsi="Times New Roman"/>
          <w:sz w:val="24"/>
          <w:szCs w:val="24"/>
          <w:u w:val="single"/>
        </w:rPr>
      </w:pPr>
      <w:r>
        <w:rPr>
          <w:rFonts w:hint="eastAsia" w:ascii="Times New Roman" w:hAnsi="Times New Roman"/>
          <w:sz w:val="24"/>
          <w:szCs w:val="24"/>
        </w:rPr>
        <w:t>日期:__________________________</w:t>
      </w:r>
    </w:p>
    <w:p>
      <w:pPr>
        <w:pageBreakBefore/>
        <w:spacing w:line="360" w:lineRule="auto"/>
        <w:jc w:val="center"/>
        <w:outlineLvl w:val="0"/>
        <w:rPr>
          <w:rFonts w:ascii="Times New Roman" w:hAnsi="Times New Roman"/>
          <w:b/>
          <w:sz w:val="24"/>
          <w:szCs w:val="24"/>
        </w:rPr>
      </w:pPr>
      <w:r>
        <w:rPr>
          <w:rFonts w:hint="eastAsia" w:ascii="Times New Roman" w:hAnsi="Times New Roman"/>
          <w:b/>
          <w:sz w:val="24"/>
          <w:szCs w:val="24"/>
        </w:rPr>
        <w:t>附件二 报价表</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szCs w:val="24"/>
        </w:rPr>
      </w:pPr>
      <w:r>
        <w:rPr>
          <w:rFonts w:hint="eastAsia" w:ascii="Times New Roman" w:hAnsi="Times New Roman"/>
          <w:sz w:val="24"/>
          <w:szCs w:val="24"/>
        </w:rPr>
        <w:t>招标代理机构名称</w:t>
      </w:r>
      <w:r>
        <w:rPr>
          <w:rFonts w:ascii="Times New Roman" w:hAnsi="Times New Roman"/>
          <w:sz w:val="24"/>
          <w:szCs w:val="24"/>
        </w:rPr>
        <w:t>:</w:t>
      </w:r>
      <w:r>
        <w:rPr>
          <w:rFonts w:hint="eastAsia" w:ascii="Times New Roman" w:hAnsi="Times New Roman"/>
          <w:sz w:val="24"/>
          <w:szCs w:val="24"/>
        </w:rPr>
        <w:t xml:space="preserve">________________________ </w:t>
      </w:r>
    </w:p>
    <w:p>
      <w:pPr>
        <w:spacing w:line="360" w:lineRule="auto"/>
        <w:rPr>
          <w:rFonts w:ascii="Times New Roman" w:hAnsi="Times New Roman"/>
          <w:sz w:val="24"/>
          <w:szCs w:val="24"/>
        </w:rPr>
      </w:pPr>
      <w:r>
        <w:rPr>
          <w:rFonts w:hint="eastAsia" w:ascii="Times New Roman" w:hAnsi="Times New Roman"/>
          <w:sz w:val="24"/>
          <w:szCs w:val="24"/>
        </w:rPr>
        <w:t>项目名称：上海市中医医院委外招标代理机构遴选项目</w:t>
      </w:r>
    </w:p>
    <w:p>
      <w:pPr>
        <w:spacing w:line="360" w:lineRule="auto"/>
        <w:rPr>
          <w:rFonts w:ascii="Times New Roman" w:hAnsi="Times New Roman"/>
          <w:sz w:val="24"/>
          <w:szCs w:val="24"/>
        </w:rPr>
      </w:pPr>
    </w:p>
    <w:tbl>
      <w:tblPr>
        <w:tblStyle w:val="1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111"/>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line="360" w:lineRule="auto"/>
              <w:jc w:val="center"/>
              <w:rPr>
                <w:rFonts w:ascii="Times New Roman" w:hAnsi="Times New Roman"/>
                <w:sz w:val="24"/>
                <w:szCs w:val="24"/>
              </w:rPr>
            </w:pPr>
            <w:r>
              <w:rPr>
                <w:rFonts w:hint="eastAsia" w:ascii="Times New Roman" w:hAnsi="Times New Roman"/>
                <w:sz w:val="24"/>
                <w:szCs w:val="24"/>
              </w:rPr>
              <w:t>序号</w:t>
            </w:r>
          </w:p>
        </w:tc>
        <w:tc>
          <w:tcPr>
            <w:tcW w:w="4111" w:type="dxa"/>
          </w:tcPr>
          <w:p>
            <w:pPr>
              <w:spacing w:line="360" w:lineRule="auto"/>
              <w:jc w:val="center"/>
              <w:rPr>
                <w:rFonts w:ascii="Times New Roman" w:hAnsi="Times New Roman"/>
                <w:sz w:val="24"/>
                <w:szCs w:val="24"/>
              </w:rPr>
            </w:pPr>
            <w:r>
              <w:rPr>
                <w:rFonts w:hint="eastAsia" w:ascii="Times New Roman" w:hAnsi="Times New Roman"/>
                <w:sz w:val="24"/>
                <w:szCs w:val="24"/>
              </w:rPr>
              <w:t>报价</w:t>
            </w:r>
          </w:p>
        </w:tc>
        <w:tc>
          <w:tcPr>
            <w:tcW w:w="4252" w:type="dxa"/>
          </w:tcPr>
          <w:p>
            <w:pPr>
              <w:spacing w:line="360" w:lineRule="auto"/>
              <w:jc w:val="center"/>
              <w:rPr>
                <w:rFonts w:ascii="Times New Roman" w:hAnsi="Times New Roman"/>
                <w:sz w:val="24"/>
                <w:szCs w:val="24"/>
              </w:rPr>
            </w:pPr>
            <w:r>
              <w:rPr>
                <w:rFonts w:hint="eastAsia" w:ascii="Times New Roman" w:hAnsi="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trPr>
        <w:tc>
          <w:tcPr>
            <w:tcW w:w="959" w:type="dxa"/>
            <w:vAlign w:val="center"/>
          </w:tcPr>
          <w:p>
            <w:pPr>
              <w:spacing w:line="360" w:lineRule="auto"/>
              <w:rPr>
                <w:rFonts w:ascii="Times New Roman" w:hAnsi="Times New Roman"/>
                <w:sz w:val="24"/>
                <w:szCs w:val="24"/>
              </w:rPr>
            </w:pPr>
            <w:r>
              <w:rPr>
                <w:rFonts w:hint="eastAsia" w:ascii="Times New Roman" w:hAnsi="Times New Roman"/>
                <w:sz w:val="24"/>
                <w:szCs w:val="24"/>
              </w:rPr>
              <w:t>1</w:t>
            </w:r>
          </w:p>
        </w:tc>
        <w:tc>
          <w:tcPr>
            <w:tcW w:w="4111" w:type="dxa"/>
            <w:vAlign w:val="center"/>
          </w:tcPr>
          <w:p>
            <w:pPr>
              <w:spacing w:line="360" w:lineRule="auto"/>
              <w:rPr>
                <w:rFonts w:ascii="Times New Roman" w:hAnsi="Times New Roman"/>
                <w:sz w:val="24"/>
                <w:szCs w:val="24"/>
              </w:rPr>
            </w:pPr>
            <w:r>
              <w:rPr>
                <w:rFonts w:hint="eastAsia" w:ascii="Times New Roman" w:hAnsi="Times New Roman"/>
                <w:sz w:val="24"/>
                <w:szCs w:val="24"/>
              </w:rPr>
              <w:t>委外招标项目中标金额的</w:t>
            </w:r>
            <w:r>
              <w:rPr>
                <w:rFonts w:hint="eastAsia" w:ascii="Times New Roman" w:hAnsi="Times New Roman"/>
                <w:sz w:val="24"/>
                <w:szCs w:val="24"/>
                <w:u w:val="single"/>
              </w:rPr>
              <w:t xml:space="preserve">     </w:t>
            </w:r>
            <w:r>
              <w:rPr>
                <w:rFonts w:hint="eastAsia" w:ascii="Times New Roman" w:hAnsi="Times New Roman"/>
                <w:sz w:val="24"/>
                <w:szCs w:val="24"/>
              </w:rPr>
              <w:t>%</w:t>
            </w:r>
          </w:p>
        </w:tc>
        <w:tc>
          <w:tcPr>
            <w:tcW w:w="4252" w:type="dxa"/>
            <w:vAlign w:val="center"/>
          </w:tcPr>
          <w:p>
            <w:pPr>
              <w:spacing w:line="360" w:lineRule="auto"/>
              <w:rPr>
                <w:rFonts w:ascii="Times New Roman" w:hAnsi="Times New Roman"/>
                <w:sz w:val="24"/>
                <w:szCs w:val="24"/>
              </w:rPr>
            </w:pPr>
            <w:r>
              <w:rPr>
                <w:rFonts w:hint="eastAsia" w:ascii="Times New Roman" w:hAnsi="Times New Roman"/>
                <w:sz w:val="24"/>
                <w:szCs w:val="24"/>
              </w:rPr>
              <w:t>向中标单位收取，按中标金额的百分比计价。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trPr>
        <w:tc>
          <w:tcPr>
            <w:tcW w:w="959" w:type="dxa"/>
            <w:vAlign w:val="center"/>
          </w:tcPr>
          <w:p>
            <w:pPr>
              <w:spacing w:line="360" w:lineRule="auto"/>
              <w:rPr>
                <w:rFonts w:ascii="Times New Roman" w:hAnsi="Times New Roman"/>
                <w:sz w:val="24"/>
                <w:szCs w:val="24"/>
              </w:rPr>
            </w:pPr>
            <w:r>
              <w:rPr>
                <w:rFonts w:hint="eastAsia" w:ascii="Times New Roman" w:hAnsi="Times New Roman"/>
                <w:sz w:val="24"/>
                <w:szCs w:val="24"/>
              </w:rPr>
              <w:t>2</w:t>
            </w:r>
          </w:p>
        </w:tc>
        <w:tc>
          <w:tcPr>
            <w:tcW w:w="4111" w:type="dxa"/>
            <w:vAlign w:val="center"/>
          </w:tcPr>
          <w:p>
            <w:pPr>
              <w:spacing w:line="360" w:lineRule="auto"/>
              <w:rPr>
                <w:rFonts w:ascii="Times New Roman" w:hAnsi="Times New Roman"/>
                <w:sz w:val="24"/>
                <w:szCs w:val="24"/>
              </w:rPr>
            </w:pPr>
            <w:r>
              <w:rPr>
                <w:rFonts w:hint="eastAsia" w:ascii="Times New Roman" w:hAnsi="Times New Roman"/>
                <w:sz w:val="24"/>
                <w:szCs w:val="24"/>
              </w:rPr>
              <w:t>最低收费</w:t>
            </w:r>
            <w:r>
              <w:rPr>
                <w:rFonts w:hint="eastAsia" w:ascii="Times New Roman" w:hAnsi="Times New Roman"/>
                <w:sz w:val="24"/>
                <w:szCs w:val="24"/>
                <w:u w:val="single"/>
              </w:rPr>
              <w:t xml:space="preserve">        </w:t>
            </w:r>
            <w:r>
              <w:rPr>
                <w:rFonts w:hint="eastAsia" w:ascii="Times New Roman" w:hAnsi="Times New Roman"/>
                <w:sz w:val="24"/>
                <w:szCs w:val="24"/>
              </w:rPr>
              <w:t>元</w:t>
            </w:r>
          </w:p>
        </w:tc>
        <w:tc>
          <w:tcPr>
            <w:tcW w:w="4252" w:type="dxa"/>
            <w:vAlign w:val="center"/>
          </w:tcPr>
          <w:p>
            <w:pPr>
              <w:spacing w:line="360" w:lineRule="auto"/>
              <w:rPr>
                <w:rFonts w:ascii="Times New Roman" w:hAnsi="Times New Roman"/>
                <w:sz w:val="24"/>
                <w:szCs w:val="24"/>
              </w:rPr>
            </w:pPr>
            <w:r>
              <w:rPr>
                <w:rFonts w:hint="eastAsia" w:ascii="Times New Roman" w:hAnsi="Times New Roman"/>
                <w:sz w:val="24"/>
                <w:szCs w:val="24"/>
              </w:rPr>
              <w:t>未达到最低收费标准的按该项计价。</w:t>
            </w:r>
          </w:p>
        </w:tc>
      </w:tr>
    </w:tbl>
    <w:p>
      <w:pPr>
        <w:spacing w:line="360" w:lineRule="auto"/>
        <w:rPr>
          <w:rFonts w:ascii="Times New Roman" w:hAnsi="Times New Roman"/>
          <w:sz w:val="24"/>
          <w:szCs w:val="24"/>
        </w:rPr>
      </w:pPr>
    </w:p>
    <w:p>
      <w:pPr>
        <w:spacing w:line="360" w:lineRule="auto"/>
        <w:rPr>
          <w:rFonts w:ascii="Times New Roman" w:hAnsi="Times New Roman"/>
          <w:sz w:val="24"/>
          <w:szCs w:val="24"/>
        </w:rPr>
      </w:pPr>
      <w:r>
        <w:rPr>
          <w:rFonts w:hint="eastAsia" w:ascii="Times New Roman" w:hAnsi="Times New Roman"/>
          <w:sz w:val="24"/>
          <w:szCs w:val="24"/>
        </w:rPr>
        <w:t>注：请根据上述要求进行报价；不符合要求的报价，将被否决。</w:t>
      </w:r>
    </w:p>
    <w:p>
      <w:pPr>
        <w:spacing w:line="360" w:lineRule="auto"/>
        <w:rPr>
          <w:rFonts w:ascii="Times New Roman" w:hAnsi="Times New Roman"/>
          <w:sz w:val="24"/>
          <w:szCs w:val="24"/>
        </w:rPr>
      </w:pPr>
    </w:p>
    <w:p>
      <w:pPr>
        <w:spacing w:line="360" w:lineRule="auto"/>
        <w:rPr>
          <w:rFonts w:ascii="Times New Roman" w:hAnsi="Times New Roman"/>
          <w:sz w:val="24"/>
          <w:szCs w:val="24"/>
        </w:rPr>
      </w:pPr>
      <w:r>
        <w:rPr>
          <w:rFonts w:hint="eastAsia" w:ascii="Times New Roman" w:hAnsi="Times New Roman"/>
          <w:sz w:val="24"/>
          <w:szCs w:val="24"/>
        </w:rPr>
        <w:t>招标代理机构名称</w:t>
      </w:r>
      <w:r>
        <w:rPr>
          <w:rFonts w:ascii="Times New Roman" w:hAnsi="Times New Roman"/>
          <w:sz w:val="24"/>
          <w:szCs w:val="24"/>
        </w:rPr>
        <w:t>:</w:t>
      </w:r>
      <w:r>
        <w:rPr>
          <w:rFonts w:hint="eastAsia" w:ascii="Times New Roman" w:hAnsi="Times New Roman"/>
          <w:sz w:val="24"/>
          <w:szCs w:val="24"/>
        </w:rPr>
        <w:t>____________________</w:t>
      </w:r>
    </w:p>
    <w:p>
      <w:pPr>
        <w:spacing w:line="360" w:lineRule="auto"/>
        <w:rPr>
          <w:rFonts w:ascii="Times New Roman" w:hAnsi="Times New Roman"/>
          <w:sz w:val="24"/>
          <w:szCs w:val="24"/>
        </w:rPr>
      </w:pPr>
      <w:r>
        <w:rPr>
          <w:rFonts w:hint="eastAsia" w:ascii="Times New Roman" w:hAnsi="Times New Roman"/>
          <w:sz w:val="24"/>
          <w:szCs w:val="24"/>
        </w:rPr>
        <w:t>公章：______________</w:t>
      </w:r>
      <w:r>
        <w:rPr>
          <w:rFonts w:hint="eastAsia" w:ascii="Times New Roman" w:hAnsi="Times New Roman"/>
          <w:sz w:val="24"/>
          <w:szCs w:val="24"/>
          <w:u w:val="single"/>
        </w:rPr>
        <w:t xml:space="preserve">___    </w:t>
      </w:r>
      <w:r>
        <w:rPr>
          <w:rFonts w:hint="eastAsia" w:ascii="Times New Roman" w:hAnsi="Times New Roman"/>
          <w:sz w:val="24"/>
          <w:szCs w:val="24"/>
        </w:rPr>
        <w:t xml:space="preserve">___                            </w:t>
      </w:r>
    </w:p>
    <w:p>
      <w:pPr>
        <w:spacing w:line="360" w:lineRule="auto"/>
        <w:rPr>
          <w:rFonts w:ascii="Times New Roman" w:hAnsi="Times New Roman"/>
          <w:sz w:val="24"/>
          <w:szCs w:val="24"/>
          <w:highlight w:val="yellow"/>
        </w:rPr>
      </w:pPr>
      <w:r>
        <w:rPr>
          <w:rFonts w:hint="eastAsia" w:ascii="Times New Roman" w:hAnsi="Times New Roman"/>
          <w:sz w:val="24"/>
          <w:szCs w:val="24"/>
        </w:rPr>
        <w:t>日期:__________________________</w:t>
      </w:r>
    </w:p>
    <w:p>
      <w:pPr>
        <w:spacing w:line="360" w:lineRule="auto"/>
        <w:ind w:firstLine="480"/>
        <w:jc w:val="center"/>
        <w:rPr>
          <w:rFonts w:ascii="Times New Roman" w:hAnsi="Times New Roman"/>
          <w:b/>
          <w:sz w:val="24"/>
          <w:szCs w:val="24"/>
        </w:rPr>
      </w:pPr>
      <w:r>
        <w:rPr>
          <w:rFonts w:hint="eastAsia" w:ascii="Times New Roman" w:hAnsi="Times New Roman"/>
          <w:b/>
          <w:sz w:val="24"/>
          <w:szCs w:val="24"/>
          <w:highlight w:val="yellow"/>
        </w:rPr>
        <w:br w:type="page"/>
      </w:r>
      <w:r>
        <w:rPr>
          <w:rFonts w:hint="eastAsia" w:ascii="Times New Roman" w:hAnsi="Times New Roman"/>
          <w:b/>
          <w:sz w:val="24"/>
          <w:szCs w:val="24"/>
        </w:rPr>
        <w:t>附件三  招标代理服务团队主要工作人员资历表及资格证明文件</w:t>
      </w:r>
    </w:p>
    <w:p>
      <w:pPr>
        <w:spacing w:line="360" w:lineRule="auto"/>
        <w:rPr>
          <w:rFonts w:ascii="Times New Roman" w:hAnsi="Times New Roman"/>
          <w:sz w:val="24"/>
          <w:szCs w:val="24"/>
        </w:rPr>
      </w:pPr>
    </w:p>
    <w:p>
      <w:pPr>
        <w:pStyle w:val="9"/>
        <w:spacing w:line="360" w:lineRule="auto"/>
        <w:rPr>
          <w:rFonts w:ascii="Times New Roman" w:hAnsi="Times New Roman"/>
        </w:rPr>
      </w:pPr>
      <w:r>
        <w:rPr>
          <w:rFonts w:hint="eastAsia" w:ascii="Times New Roman" w:hAnsi="Times New Roman"/>
        </w:rPr>
        <w:t>招标代理机构名称</w:t>
      </w:r>
      <w:r>
        <w:rPr>
          <w:rFonts w:ascii="Times New Roman" w:hAnsi="Times New Roman"/>
        </w:rPr>
        <w:t>:</w:t>
      </w:r>
      <w:r>
        <w:rPr>
          <w:rFonts w:hint="eastAsia" w:ascii="Times New Roman" w:hAnsi="Times New Roman"/>
        </w:rPr>
        <w:t xml:space="preserve">________________________           </w:t>
      </w:r>
    </w:p>
    <w:p>
      <w:pPr>
        <w:spacing w:line="360" w:lineRule="auto"/>
        <w:rPr>
          <w:rFonts w:ascii="Times New Roman" w:hAnsi="Times New Roman"/>
          <w:sz w:val="24"/>
          <w:szCs w:val="24"/>
        </w:rPr>
      </w:pPr>
    </w:p>
    <w:tbl>
      <w:tblPr>
        <w:tblStyle w:val="10"/>
        <w:tblW w:w="9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80"/>
        <w:gridCol w:w="987"/>
        <w:gridCol w:w="762"/>
        <w:gridCol w:w="979"/>
        <w:gridCol w:w="992"/>
        <w:gridCol w:w="1417"/>
        <w:gridCol w:w="1252"/>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序号</w:t>
            </w:r>
          </w:p>
        </w:tc>
        <w:tc>
          <w:tcPr>
            <w:tcW w:w="108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姓名</w:t>
            </w:r>
          </w:p>
        </w:tc>
        <w:tc>
          <w:tcPr>
            <w:tcW w:w="987"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性别</w:t>
            </w:r>
          </w:p>
        </w:tc>
        <w:tc>
          <w:tcPr>
            <w:tcW w:w="762"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年龄</w:t>
            </w:r>
          </w:p>
        </w:tc>
        <w:tc>
          <w:tcPr>
            <w:tcW w:w="979"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本项目分工</w:t>
            </w:r>
          </w:p>
        </w:tc>
        <w:tc>
          <w:tcPr>
            <w:tcW w:w="992"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学历、专业</w:t>
            </w:r>
          </w:p>
        </w:tc>
        <w:tc>
          <w:tcPr>
            <w:tcW w:w="1417"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执业资格和职称</w:t>
            </w:r>
          </w:p>
        </w:tc>
        <w:tc>
          <w:tcPr>
            <w:tcW w:w="1252"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执业经历</w:t>
            </w:r>
          </w:p>
        </w:tc>
        <w:tc>
          <w:tcPr>
            <w:tcW w:w="1726"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类似业绩经验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675" w:type="dxa"/>
          </w:tcPr>
          <w:p>
            <w:pPr>
              <w:spacing w:line="360" w:lineRule="auto"/>
              <w:rPr>
                <w:rFonts w:ascii="Times New Roman" w:hAnsi="Times New Roman"/>
                <w:sz w:val="24"/>
                <w:szCs w:val="24"/>
              </w:rPr>
            </w:pPr>
          </w:p>
        </w:tc>
        <w:tc>
          <w:tcPr>
            <w:tcW w:w="1080" w:type="dxa"/>
          </w:tcPr>
          <w:p>
            <w:pPr>
              <w:spacing w:line="360" w:lineRule="auto"/>
              <w:rPr>
                <w:rFonts w:ascii="Times New Roman" w:hAnsi="Times New Roman"/>
                <w:sz w:val="24"/>
                <w:szCs w:val="24"/>
              </w:rPr>
            </w:pPr>
          </w:p>
        </w:tc>
        <w:tc>
          <w:tcPr>
            <w:tcW w:w="987" w:type="dxa"/>
          </w:tcPr>
          <w:p>
            <w:pPr>
              <w:spacing w:line="360" w:lineRule="auto"/>
              <w:rPr>
                <w:rFonts w:ascii="Times New Roman" w:hAnsi="Times New Roman"/>
                <w:sz w:val="24"/>
                <w:szCs w:val="24"/>
              </w:rPr>
            </w:pPr>
          </w:p>
        </w:tc>
        <w:tc>
          <w:tcPr>
            <w:tcW w:w="762" w:type="dxa"/>
          </w:tcPr>
          <w:p>
            <w:pPr>
              <w:spacing w:line="360" w:lineRule="auto"/>
              <w:rPr>
                <w:rFonts w:ascii="Times New Roman" w:hAnsi="Times New Roman"/>
                <w:sz w:val="24"/>
                <w:szCs w:val="24"/>
              </w:rPr>
            </w:pPr>
          </w:p>
        </w:tc>
        <w:tc>
          <w:tcPr>
            <w:tcW w:w="979" w:type="dxa"/>
          </w:tcPr>
          <w:p>
            <w:pPr>
              <w:spacing w:line="360" w:lineRule="auto"/>
              <w:rPr>
                <w:rFonts w:ascii="Times New Roman" w:hAnsi="Times New Roman"/>
                <w:sz w:val="24"/>
                <w:szCs w:val="24"/>
              </w:rPr>
            </w:pPr>
          </w:p>
        </w:tc>
        <w:tc>
          <w:tcPr>
            <w:tcW w:w="992" w:type="dxa"/>
          </w:tcPr>
          <w:p>
            <w:pPr>
              <w:spacing w:line="360" w:lineRule="auto"/>
              <w:rPr>
                <w:rFonts w:ascii="Times New Roman" w:hAnsi="Times New Roman"/>
                <w:sz w:val="24"/>
                <w:szCs w:val="24"/>
              </w:rPr>
            </w:pPr>
          </w:p>
        </w:tc>
        <w:tc>
          <w:tcPr>
            <w:tcW w:w="1417" w:type="dxa"/>
          </w:tcPr>
          <w:p>
            <w:pPr>
              <w:spacing w:line="360" w:lineRule="auto"/>
              <w:rPr>
                <w:rFonts w:ascii="Times New Roman" w:hAnsi="Times New Roman"/>
                <w:sz w:val="24"/>
                <w:szCs w:val="24"/>
              </w:rPr>
            </w:pPr>
          </w:p>
        </w:tc>
        <w:tc>
          <w:tcPr>
            <w:tcW w:w="1252" w:type="dxa"/>
          </w:tcPr>
          <w:p>
            <w:pPr>
              <w:spacing w:line="360" w:lineRule="auto"/>
              <w:rPr>
                <w:rFonts w:ascii="Times New Roman" w:hAnsi="Times New Roman"/>
                <w:sz w:val="24"/>
                <w:szCs w:val="24"/>
              </w:rPr>
            </w:pPr>
          </w:p>
        </w:tc>
        <w:tc>
          <w:tcPr>
            <w:tcW w:w="1726"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675" w:type="dxa"/>
          </w:tcPr>
          <w:p>
            <w:pPr>
              <w:spacing w:line="360" w:lineRule="auto"/>
              <w:rPr>
                <w:rFonts w:ascii="Times New Roman" w:hAnsi="Times New Roman"/>
                <w:sz w:val="24"/>
                <w:szCs w:val="24"/>
              </w:rPr>
            </w:pPr>
          </w:p>
        </w:tc>
        <w:tc>
          <w:tcPr>
            <w:tcW w:w="1080" w:type="dxa"/>
          </w:tcPr>
          <w:p>
            <w:pPr>
              <w:spacing w:line="360" w:lineRule="auto"/>
              <w:rPr>
                <w:rFonts w:ascii="Times New Roman" w:hAnsi="Times New Roman"/>
                <w:sz w:val="24"/>
                <w:szCs w:val="24"/>
              </w:rPr>
            </w:pPr>
          </w:p>
        </w:tc>
        <w:tc>
          <w:tcPr>
            <w:tcW w:w="987" w:type="dxa"/>
          </w:tcPr>
          <w:p>
            <w:pPr>
              <w:spacing w:line="360" w:lineRule="auto"/>
              <w:rPr>
                <w:rFonts w:ascii="Times New Roman" w:hAnsi="Times New Roman"/>
                <w:sz w:val="24"/>
                <w:szCs w:val="24"/>
              </w:rPr>
            </w:pPr>
          </w:p>
        </w:tc>
        <w:tc>
          <w:tcPr>
            <w:tcW w:w="762" w:type="dxa"/>
          </w:tcPr>
          <w:p>
            <w:pPr>
              <w:spacing w:line="360" w:lineRule="auto"/>
              <w:rPr>
                <w:rFonts w:ascii="Times New Roman" w:hAnsi="Times New Roman"/>
                <w:sz w:val="24"/>
                <w:szCs w:val="24"/>
              </w:rPr>
            </w:pPr>
          </w:p>
        </w:tc>
        <w:tc>
          <w:tcPr>
            <w:tcW w:w="979" w:type="dxa"/>
          </w:tcPr>
          <w:p>
            <w:pPr>
              <w:spacing w:line="360" w:lineRule="auto"/>
              <w:rPr>
                <w:rFonts w:ascii="Times New Roman" w:hAnsi="Times New Roman"/>
                <w:sz w:val="24"/>
                <w:szCs w:val="24"/>
              </w:rPr>
            </w:pPr>
          </w:p>
        </w:tc>
        <w:tc>
          <w:tcPr>
            <w:tcW w:w="992" w:type="dxa"/>
          </w:tcPr>
          <w:p>
            <w:pPr>
              <w:spacing w:line="360" w:lineRule="auto"/>
              <w:rPr>
                <w:rFonts w:ascii="Times New Roman" w:hAnsi="Times New Roman"/>
                <w:sz w:val="24"/>
                <w:szCs w:val="24"/>
              </w:rPr>
            </w:pPr>
          </w:p>
        </w:tc>
        <w:tc>
          <w:tcPr>
            <w:tcW w:w="1417" w:type="dxa"/>
          </w:tcPr>
          <w:p>
            <w:pPr>
              <w:spacing w:line="360" w:lineRule="auto"/>
              <w:rPr>
                <w:rFonts w:ascii="Times New Roman" w:hAnsi="Times New Roman"/>
                <w:sz w:val="24"/>
                <w:szCs w:val="24"/>
              </w:rPr>
            </w:pPr>
          </w:p>
        </w:tc>
        <w:tc>
          <w:tcPr>
            <w:tcW w:w="1252" w:type="dxa"/>
          </w:tcPr>
          <w:p>
            <w:pPr>
              <w:spacing w:line="360" w:lineRule="auto"/>
              <w:rPr>
                <w:rFonts w:ascii="Times New Roman" w:hAnsi="Times New Roman"/>
                <w:sz w:val="24"/>
                <w:szCs w:val="24"/>
              </w:rPr>
            </w:pPr>
          </w:p>
        </w:tc>
        <w:tc>
          <w:tcPr>
            <w:tcW w:w="1726"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5" w:type="dxa"/>
          </w:tcPr>
          <w:p>
            <w:pPr>
              <w:spacing w:line="360" w:lineRule="auto"/>
              <w:rPr>
                <w:rFonts w:ascii="Times New Roman" w:hAnsi="Times New Roman"/>
                <w:sz w:val="24"/>
                <w:szCs w:val="24"/>
              </w:rPr>
            </w:pPr>
          </w:p>
        </w:tc>
        <w:tc>
          <w:tcPr>
            <w:tcW w:w="1080" w:type="dxa"/>
          </w:tcPr>
          <w:p>
            <w:pPr>
              <w:spacing w:line="360" w:lineRule="auto"/>
              <w:rPr>
                <w:rFonts w:ascii="Times New Roman" w:hAnsi="Times New Roman"/>
                <w:sz w:val="24"/>
                <w:szCs w:val="24"/>
              </w:rPr>
            </w:pPr>
          </w:p>
        </w:tc>
        <w:tc>
          <w:tcPr>
            <w:tcW w:w="987" w:type="dxa"/>
          </w:tcPr>
          <w:p>
            <w:pPr>
              <w:spacing w:line="360" w:lineRule="auto"/>
              <w:rPr>
                <w:rFonts w:ascii="Times New Roman" w:hAnsi="Times New Roman"/>
                <w:sz w:val="24"/>
                <w:szCs w:val="24"/>
              </w:rPr>
            </w:pPr>
          </w:p>
        </w:tc>
        <w:tc>
          <w:tcPr>
            <w:tcW w:w="762" w:type="dxa"/>
          </w:tcPr>
          <w:p>
            <w:pPr>
              <w:spacing w:line="360" w:lineRule="auto"/>
              <w:rPr>
                <w:rFonts w:ascii="Times New Roman" w:hAnsi="Times New Roman"/>
                <w:sz w:val="24"/>
                <w:szCs w:val="24"/>
              </w:rPr>
            </w:pPr>
          </w:p>
        </w:tc>
        <w:tc>
          <w:tcPr>
            <w:tcW w:w="979" w:type="dxa"/>
          </w:tcPr>
          <w:p>
            <w:pPr>
              <w:spacing w:line="360" w:lineRule="auto"/>
              <w:rPr>
                <w:rFonts w:ascii="Times New Roman" w:hAnsi="Times New Roman"/>
                <w:sz w:val="24"/>
                <w:szCs w:val="24"/>
              </w:rPr>
            </w:pPr>
          </w:p>
        </w:tc>
        <w:tc>
          <w:tcPr>
            <w:tcW w:w="992" w:type="dxa"/>
          </w:tcPr>
          <w:p>
            <w:pPr>
              <w:spacing w:line="360" w:lineRule="auto"/>
              <w:rPr>
                <w:rFonts w:ascii="Times New Roman" w:hAnsi="Times New Roman"/>
                <w:sz w:val="24"/>
                <w:szCs w:val="24"/>
              </w:rPr>
            </w:pPr>
          </w:p>
        </w:tc>
        <w:tc>
          <w:tcPr>
            <w:tcW w:w="1417" w:type="dxa"/>
          </w:tcPr>
          <w:p>
            <w:pPr>
              <w:spacing w:line="360" w:lineRule="auto"/>
              <w:rPr>
                <w:rFonts w:ascii="Times New Roman" w:hAnsi="Times New Roman"/>
                <w:sz w:val="24"/>
                <w:szCs w:val="24"/>
              </w:rPr>
            </w:pPr>
          </w:p>
        </w:tc>
        <w:tc>
          <w:tcPr>
            <w:tcW w:w="1252" w:type="dxa"/>
          </w:tcPr>
          <w:p>
            <w:pPr>
              <w:spacing w:line="360" w:lineRule="auto"/>
              <w:rPr>
                <w:rFonts w:ascii="Times New Roman" w:hAnsi="Times New Roman"/>
                <w:sz w:val="24"/>
                <w:szCs w:val="24"/>
              </w:rPr>
            </w:pPr>
          </w:p>
        </w:tc>
        <w:tc>
          <w:tcPr>
            <w:tcW w:w="1726"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tcPr>
          <w:p>
            <w:pPr>
              <w:spacing w:line="360" w:lineRule="auto"/>
              <w:rPr>
                <w:rFonts w:ascii="Times New Roman" w:hAnsi="Times New Roman"/>
                <w:sz w:val="24"/>
                <w:szCs w:val="24"/>
              </w:rPr>
            </w:pPr>
          </w:p>
        </w:tc>
        <w:tc>
          <w:tcPr>
            <w:tcW w:w="1080" w:type="dxa"/>
          </w:tcPr>
          <w:p>
            <w:pPr>
              <w:spacing w:line="360" w:lineRule="auto"/>
              <w:rPr>
                <w:rFonts w:ascii="Times New Roman" w:hAnsi="Times New Roman"/>
                <w:sz w:val="24"/>
                <w:szCs w:val="24"/>
              </w:rPr>
            </w:pPr>
          </w:p>
        </w:tc>
        <w:tc>
          <w:tcPr>
            <w:tcW w:w="987" w:type="dxa"/>
          </w:tcPr>
          <w:p>
            <w:pPr>
              <w:spacing w:line="360" w:lineRule="auto"/>
              <w:rPr>
                <w:rFonts w:ascii="Times New Roman" w:hAnsi="Times New Roman"/>
                <w:sz w:val="24"/>
                <w:szCs w:val="24"/>
              </w:rPr>
            </w:pPr>
          </w:p>
        </w:tc>
        <w:tc>
          <w:tcPr>
            <w:tcW w:w="762" w:type="dxa"/>
          </w:tcPr>
          <w:p>
            <w:pPr>
              <w:spacing w:line="360" w:lineRule="auto"/>
              <w:rPr>
                <w:rFonts w:ascii="Times New Roman" w:hAnsi="Times New Roman"/>
                <w:sz w:val="24"/>
                <w:szCs w:val="24"/>
              </w:rPr>
            </w:pPr>
          </w:p>
        </w:tc>
        <w:tc>
          <w:tcPr>
            <w:tcW w:w="979" w:type="dxa"/>
          </w:tcPr>
          <w:p>
            <w:pPr>
              <w:spacing w:line="360" w:lineRule="auto"/>
              <w:rPr>
                <w:rFonts w:ascii="Times New Roman" w:hAnsi="Times New Roman"/>
                <w:sz w:val="24"/>
                <w:szCs w:val="24"/>
              </w:rPr>
            </w:pPr>
          </w:p>
        </w:tc>
        <w:tc>
          <w:tcPr>
            <w:tcW w:w="992" w:type="dxa"/>
          </w:tcPr>
          <w:p>
            <w:pPr>
              <w:spacing w:line="360" w:lineRule="auto"/>
              <w:rPr>
                <w:rFonts w:ascii="Times New Roman" w:hAnsi="Times New Roman"/>
                <w:sz w:val="24"/>
                <w:szCs w:val="24"/>
              </w:rPr>
            </w:pPr>
          </w:p>
        </w:tc>
        <w:tc>
          <w:tcPr>
            <w:tcW w:w="1417" w:type="dxa"/>
          </w:tcPr>
          <w:p>
            <w:pPr>
              <w:spacing w:line="360" w:lineRule="auto"/>
              <w:rPr>
                <w:rFonts w:ascii="Times New Roman" w:hAnsi="Times New Roman"/>
                <w:sz w:val="24"/>
                <w:szCs w:val="24"/>
              </w:rPr>
            </w:pPr>
          </w:p>
        </w:tc>
        <w:tc>
          <w:tcPr>
            <w:tcW w:w="1252" w:type="dxa"/>
          </w:tcPr>
          <w:p>
            <w:pPr>
              <w:spacing w:line="360" w:lineRule="auto"/>
              <w:rPr>
                <w:rFonts w:ascii="Times New Roman" w:hAnsi="Times New Roman"/>
                <w:sz w:val="24"/>
                <w:szCs w:val="24"/>
              </w:rPr>
            </w:pPr>
          </w:p>
        </w:tc>
        <w:tc>
          <w:tcPr>
            <w:tcW w:w="1726"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675" w:type="dxa"/>
          </w:tcPr>
          <w:p>
            <w:pPr>
              <w:spacing w:line="360" w:lineRule="auto"/>
              <w:rPr>
                <w:rFonts w:ascii="Times New Roman" w:hAnsi="Times New Roman"/>
                <w:sz w:val="24"/>
                <w:szCs w:val="24"/>
              </w:rPr>
            </w:pPr>
          </w:p>
        </w:tc>
        <w:tc>
          <w:tcPr>
            <w:tcW w:w="1080" w:type="dxa"/>
          </w:tcPr>
          <w:p>
            <w:pPr>
              <w:spacing w:line="360" w:lineRule="auto"/>
              <w:rPr>
                <w:rFonts w:ascii="Times New Roman" w:hAnsi="Times New Roman"/>
                <w:sz w:val="24"/>
                <w:szCs w:val="24"/>
              </w:rPr>
            </w:pPr>
          </w:p>
        </w:tc>
        <w:tc>
          <w:tcPr>
            <w:tcW w:w="987" w:type="dxa"/>
          </w:tcPr>
          <w:p>
            <w:pPr>
              <w:spacing w:line="360" w:lineRule="auto"/>
              <w:rPr>
                <w:rFonts w:ascii="Times New Roman" w:hAnsi="Times New Roman"/>
                <w:sz w:val="24"/>
                <w:szCs w:val="24"/>
              </w:rPr>
            </w:pPr>
          </w:p>
        </w:tc>
        <w:tc>
          <w:tcPr>
            <w:tcW w:w="762" w:type="dxa"/>
          </w:tcPr>
          <w:p>
            <w:pPr>
              <w:spacing w:line="360" w:lineRule="auto"/>
              <w:rPr>
                <w:rFonts w:ascii="Times New Roman" w:hAnsi="Times New Roman"/>
                <w:sz w:val="24"/>
                <w:szCs w:val="24"/>
              </w:rPr>
            </w:pPr>
          </w:p>
        </w:tc>
        <w:tc>
          <w:tcPr>
            <w:tcW w:w="979" w:type="dxa"/>
          </w:tcPr>
          <w:p>
            <w:pPr>
              <w:spacing w:line="360" w:lineRule="auto"/>
              <w:rPr>
                <w:rFonts w:ascii="Times New Roman" w:hAnsi="Times New Roman"/>
                <w:sz w:val="24"/>
                <w:szCs w:val="24"/>
              </w:rPr>
            </w:pPr>
          </w:p>
        </w:tc>
        <w:tc>
          <w:tcPr>
            <w:tcW w:w="992" w:type="dxa"/>
          </w:tcPr>
          <w:p>
            <w:pPr>
              <w:spacing w:line="360" w:lineRule="auto"/>
              <w:rPr>
                <w:rFonts w:ascii="Times New Roman" w:hAnsi="Times New Roman"/>
                <w:sz w:val="24"/>
                <w:szCs w:val="24"/>
              </w:rPr>
            </w:pPr>
          </w:p>
        </w:tc>
        <w:tc>
          <w:tcPr>
            <w:tcW w:w="1417" w:type="dxa"/>
          </w:tcPr>
          <w:p>
            <w:pPr>
              <w:spacing w:line="360" w:lineRule="auto"/>
              <w:rPr>
                <w:rFonts w:ascii="Times New Roman" w:hAnsi="Times New Roman"/>
                <w:sz w:val="24"/>
                <w:szCs w:val="24"/>
              </w:rPr>
            </w:pPr>
          </w:p>
        </w:tc>
        <w:tc>
          <w:tcPr>
            <w:tcW w:w="1252" w:type="dxa"/>
          </w:tcPr>
          <w:p>
            <w:pPr>
              <w:spacing w:line="360" w:lineRule="auto"/>
              <w:rPr>
                <w:rFonts w:ascii="Times New Roman" w:hAnsi="Times New Roman"/>
                <w:sz w:val="24"/>
                <w:szCs w:val="24"/>
              </w:rPr>
            </w:pPr>
          </w:p>
        </w:tc>
        <w:tc>
          <w:tcPr>
            <w:tcW w:w="1726"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675" w:type="dxa"/>
          </w:tcPr>
          <w:p>
            <w:pPr>
              <w:spacing w:line="360" w:lineRule="auto"/>
              <w:rPr>
                <w:rFonts w:ascii="Times New Roman" w:hAnsi="Times New Roman"/>
                <w:sz w:val="24"/>
                <w:szCs w:val="24"/>
              </w:rPr>
            </w:pPr>
          </w:p>
        </w:tc>
        <w:tc>
          <w:tcPr>
            <w:tcW w:w="1080" w:type="dxa"/>
          </w:tcPr>
          <w:p>
            <w:pPr>
              <w:spacing w:line="360" w:lineRule="auto"/>
              <w:rPr>
                <w:rFonts w:ascii="Times New Roman" w:hAnsi="Times New Roman"/>
                <w:sz w:val="24"/>
                <w:szCs w:val="24"/>
              </w:rPr>
            </w:pPr>
          </w:p>
        </w:tc>
        <w:tc>
          <w:tcPr>
            <w:tcW w:w="987" w:type="dxa"/>
          </w:tcPr>
          <w:p>
            <w:pPr>
              <w:spacing w:line="360" w:lineRule="auto"/>
              <w:rPr>
                <w:rFonts w:ascii="Times New Roman" w:hAnsi="Times New Roman"/>
                <w:sz w:val="24"/>
                <w:szCs w:val="24"/>
              </w:rPr>
            </w:pPr>
          </w:p>
        </w:tc>
        <w:tc>
          <w:tcPr>
            <w:tcW w:w="762" w:type="dxa"/>
          </w:tcPr>
          <w:p>
            <w:pPr>
              <w:spacing w:line="360" w:lineRule="auto"/>
              <w:rPr>
                <w:rFonts w:ascii="Times New Roman" w:hAnsi="Times New Roman"/>
                <w:sz w:val="24"/>
                <w:szCs w:val="24"/>
              </w:rPr>
            </w:pPr>
          </w:p>
        </w:tc>
        <w:tc>
          <w:tcPr>
            <w:tcW w:w="979" w:type="dxa"/>
          </w:tcPr>
          <w:p>
            <w:pPr>
              <w:spacing w:line="360" w:lineRule="auto"/>
              <w:rPr>
                <w:rFonts w:ascii="Times New Roman" w:hAnsi="Times New Roman"/>
                <w:sz w:val="24"/>
                <w:szCs w:val="24"/>
              </w:rPr>
            </w:pPr>
          </w:p>
        </w:tc>
        <w:tc>
          <w:tcPr>
            <w:tcW w:w="992" w:type="dxa"/>
          </w:tcPr>
          <w:p>
            <w:pPr>
              <w:spacing w:line="360" w:lineRule="auto"/>
              <w:rPr>
                <w:rFonts w:ascii="Times New Roman" w:hAnsi="Times New Roman"/>
                <w:sz w:val="24"/>
                <w:szCs w:val="24"/>
              </w:rPr>
            </w:pPr>
          </w:p>
        </w:tc>
        <w:tc>
          <w:tcPr>
            <w:tcW w:w="1417" w:type="dxa"/>
          </w:tcPr>
          <w:p>
            <w:pPr>
              <w:spacing w:line="360" w:lineRule="auto"/>
              <w:rPr>
                <w:rFonts w:ascii="Times New Roman" w:hAnsi="Times New Roman"/>
                <w:sz w:val="24"/>
                <w:szCs w:val="24"/>
              </w:rPr>
            </w:pPr>
          </w:p>
        </w:tc>
        <w:tc>
          <w:tcPr>
            <w:tcW w:w="1252" w:type="dxa"/>
          </w:tcPr>
          <w:p>
            <w:pPr>
              <w:spacing w:line="360" w:lineRule="auto"/>
              <w:rPr>
                <w:rFonts w:ascii="Times New Roman" w:hAnsi="Times New Roman"/>
                <w:sz w:val="24"/>
                <w:szCs w:val="24"/>
              </w:rPr>
            </w:pPr>
          </w:p>
        </w:tc>
        <w:tc>
          <w:tcPr>
            <w:tcW w:w="1726"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675" w:type="dxa"/>
          </w:tcPr>
          <w:p>
            <w:pPr>
              <w:spacing w:line="360" w:lineRule="auto"/>
              <w:rPr>
                <w:rFonts w:ascii="Times New Roman" w:hAnsi="Times New Roman"/>
                <w:sz w:val="24"/>
                <w:szCs w:val="24"/>
              </w:rPr>
            </w:pPr>
          </w:p>
        </w:tc>
        <w:tc>
          <w:tcPr>
            <w:tcW w:w="1080" w:type="dxa"/>
          </w:tcPr>
          <w:p>
            <w:pPr>
              <w:spacing w:line="360" w:lineRule="auto"/>
              <w:rPr>
                <w:rFonts w:ascii="Times New Roman" w:hAnsi="Times New Roman"/>
                <w:sz w:val="24"/>
                <w:szCs w:val="24"/>
              </w:rPr>
            </w:pPr>
          </w:p>
        </w:tc>
        <w:tc>
          <w:tcPr>
            <w:tcW w:w="987" w:type="dxa"/>
          </w:tcPr>
          <w:p>
            <w:pPr>
              <w:spacing w:line="360" w:lineRule="auto"/>
              <w:rPr>
                <w:rFonts w:ascii="Times New Roman" w:hAnsi="Times New Roman"/>
                <w:sz w:val="24"/>
                <w:szCs w:val="24"/>
              </w:rPr>
            </w:pPr>
          </w:p>
        </w:tc>
        <w:tc>
          <w:tcPr>
            <w:tcW w:w="762" w:type="dxa"/>
          </w:tcPr>
          <w:p>
            <w:pPr>
              <w:spacing w:line="360" w:lineRule="auto"/>
              <w:rPr>
                <w:rFonts w:ascii="Times New Roman" w:hAnsi="Times New Roman"/>
                <w:sz w:val="24"/>
                <w:szCs w:val="24"/>
              </w:rPr>
            </w:pPr>
          </w:p>
        </w:tc>
        <w:tc>
          <w:tcPr>
            <w:tcW w:w="979" w:type="dxa"/>
          </w:tcPr>
          <w:p>
            <w:pPr>
              <w:spacing w:line="360" w:lineRule="auto"/>
              <w:rPr>
                <w:rFonts w:ascii="Times New Roman" w:hAnsi="Times New Roman"/>
                <w:sz w:val="24"/>
                <w:szCs w:val="24"/>
              </w:rPr>
            </w:pPr>
          </w:p>
        </w:tc>
        <w:tc>
          <w:tcPr>
            <w:tcW w:w="992" w:type="dxa"/>
          </w:tcPr>
          <w:p>
            <w:pPr>
              <w:spacing w:line="360" w:lineRule="auto"/>
              <w:rPr>
                <w:rFonts w:ascii="Times New Roman" w:hAnsi="Times New Roman"/>
                <w:sz w:val="24"/>
                <w:szCs w:val="24"/>
              </w:rPr>
            </w:pPr>
          </w:p>
        </w:tc>
        <w:tc>
          <w:tcPr>
            <w:tcW w:w="1417" w:type="dxa"/>
          </w:tcPr>
          <w:p>
            <w:pPr>
              <w:spacing w:line="360" w:lineRule="auto"/>
              <w:rPr>
                <w:rFonts w:ascii="Times New Roman" w:hAnsi="Times New Roman"/>
                <w:sz w:val="24"/>
                <w:szCs w:val="24"/>
              </w:rPr>
            </w:pPr>
          </w:p>
        </w:tc>
        <w:tc>
          <w:tcPr>
            <w:tcW w:w="1252" w:type="dxa"/>
          </w:tcPr>
          <w:p>
            <w:pPr>
              <w:spacing w:line="360" w:lineRule="auto"/>
              <w:rPr>
                <w:rFonts w:ascii="Times New Roman" w:hAnsi="Times New Roman"/>
                <w:sz w:val="24"/>
                <w:szCs w:val="24"/>
              </w:rPr>
            </w:pPr>
          </w:p>
        </w:tc>
        <w:tc>
          <w:tcPr>
            <w:tcW w:w="1726"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675" w:type="dxa"/>
          </w:tcPr>
          <w:p>
            <w:pPr>
              <w:spacing w:line="360" w:lineRule="auto"/>
              <w:rPr>
                <w:rFonts w:ascii="Times New Roman" w:hAnsi="Times New Roman"/>
                <w:sz w:val="24"/>
                <w:szCs w:val="24"/>
              </w:rPr>
            </w:pPr>
            <w:r>
              <w:rPr>
                <w:rFonts w:hint="eastAsia" w:ascii="Times New Roman" w:hAnsi="Times New Roman"/>
                <w:sz w:val="24"/>
                <w:szCs w:val="24"/>
              </w:rPr>
              <w:t>…</w:t>
            </w:r>
          </w:p>
        </w:tc>
        <w:tc>
          <w:tcPr>
            <w:tcW w:w="1080" w:type="dxa"/>
          </w:tcPr>
          <w:p>
            <w:pPr>
              <w:spacing w:line="360" w:lineRule="auto"/>
              <w:rPr>
                <w:rFonts w:ascii="Times New Roman" w:hAnsi="Times New Roman"/>
                <w:sz w:val="24"/>
                <w:szCs w:val="24"/>
              </w:rPr>
            </w:pPr>
          </w:p>
        </w:tc>
        <w:tc>
          <w:tcPr>
            <w:tcW w:w="987" w:type="dxa"/>
          </w:tcPr>
          <w:p>
            <w:pPr>
              <w:spacing w:line="360" w:lineRule="auto"/>
              <w:rPr>
                <w:rFonts w:ascii="Times New Roman" w:hAnsi="Times New Roman"/>
                <w:sz w:val="24"/>
                <w:szCs w:val="24"/>
              </w:rPr>
            </w:pPr>
          </w:p>
        </w:tc>
        <w:tc>
          <w:tcPr>
            <w:tcW w:w="762" w:type="dxa"/>
          </w:tcPr>
          <w:p>
            <w:pPr>
              <w:spacing w:line="360" w:lineRule="auto"/>
              <w:rPr>
                <w:rFonts w:ascii="Times New Roman" w:hAnsi="Times New Roman"/>
                <w:sz w:val="24"/>
                <w:szCs w:val="24"/>
              </w:rPr>
            </w:pPr>
          </w:p>
        </w:tc>
        <w:tc>
          <w:tcPr>
            <w:tcW w:w="979" w:type="dxa"/>
          </w:tcPr>
          <w:p>
            <w:pPr>
              <w:spacing w:line="360" w:lineRule="auto"/>
              <w:rPr>
                <w:rFonts w:ascii="Times New Roman" w:hAnsi="Times New Roman"/>
                <w:sz w:val="24"/>
                <w:szCs w:val="24"/>
              </w:rPr>
            </w:pPr>
          </w:p>
        </w:tc>
        <w:tc>
          <w:tcPr>
            <w:tcW w:w="992" w:type="dxa"/>
          </w:tcPr>
          <w:p>
            <w:pPr>
              <w:spacing w:line="360" w:lineRule="auto"/>
              <w:rPr>
                <w:rFonts w:ascii="Times New Roman" w:hAnsi="Times New Roman"/>
                <w:sz w:val="24"/>
                <w:szCs w:val="24"/>
              </w:rPr>
            </w:pPr>
          </w:p>
        </w:tc>
        <w:tc>
          <w:tcPr>
            <w:tcW w:w="1417" w:type="dxa"/>
          </w:tcPr>
          <w:p>
            <w:pPr>
              <w:spacing w:line="360" w:lineRule="auto"/>
              <w:rPr>
                <w:rFonts w:ascii="Times New Roman" w:hAnsi="Times New Roman"/>
                <w:sz w:val="24"/>
                <w:szCs w:val="24"/>
              </w:rPr>
            </w:pPr>
          </w:p>
        </w:tc>
        <w:tc>
          <w:tcPr>
            <w:tcW w:w="1252" w:type="dxa"/>
          </w:tcPr>
          <w:p>
            <w:pPr>
              <w:spacing w:line="360" w:lineRule="auto"/>
              <w:rPr>
                <w:rFonts w:ascii="Times New Roman" w:hAnsi="Times New Roman"/>
                <w:sz w:val="24"/>
                <w:szCs w:val="24"/>
              </w:rPr>
            </w:pPr>
          </w:p>
        </w:tc>
        <w:tc>
          <w:tcPr>
            <w:tcW w:w="1726" w:type="dxa"/>
          </w:tcPr>
          <w:p>
            <w:pPr>
              <w:spacing w:line="360" w:lineRule="auto"/>
              <w:rPr>
                <w:rFonts w:ascii="Times New Roman" w:hAnsi="Times New Roman"/>
                <w:sz w:val="24"/>
                <w:szCs w:val="24"/>
              </w:rPr>
            </w:pPr>
          </w:p>
        </w:tc>
      </w:tr>
    </w:tbl>
    <w:p>
      <w:pPr>
        <w:spacing w:line="360" w:lineRule="auto"/>
        <w:ind w:firstLine="480" w:firstLineChars="200"/>
        <w:rPr>
          <w:rFonts w:ascii="Times New Roman" w:hAnsi="Times New Roman"/>
          <w:sz w:val="24"/>
          <w:szCs w:val="24"/>
        </w:rPr>
      </w:pPr>
    </w:p>
    <w:p>
      <w:pPr>
        <w:spacing w:line="360" w:lineRule="auto"/>
        <w:rPr>
          <w:rFonts w:ascii="Times New Roman" w:hAnsi="Times New Roman"/>
          <w:sz w:val="24"/>
          <w:szCs w:val="24"/>
          <w:u w:val="single"/>
        </w:rPr>
      </w:pPr>
    </w:p>
    <w:p>
      <w:pPr>
        <w:spacing w:line="360" w:lineRule="auto"/>
        <w:outlineLvl w:val="0"/>
        <w:rPr>
          <w:rFonts w:ascii="Times New Roman" w:hAnsi="Times New Roman"/>
          <w:sz w:val="24"/>
          <w:szCs w:val="24"/>
        </w:rPr>
      </w:pPr>
      <w:r>
        <w:rPr>
          <w:rFonts w:hint="eastAsia" w:ascii="Times New Roman" w:hAnsi="Times New Roman"/>
          <w:sz w:val="24"/>
          <w:szCs w:val="24"/>
        </w:rPr>
        <w:t>注：表中本项目分工一栏应包括项目负责人、联络人、专业技术员等。</w:t>
      </w:r>
    </w:p>
    <w:p>
      <w:pPr>
        <w:spacing w:line="360" w:lineRule="auto"/>
        <w:outlineLvl w:val="0"/>
        <w:rPr>
          <w:rFonts w:ascii="Times New Roman" w:hAnsi="Times New Roman"/>
          <w:sz w:val="24"/>
          <w:szCs w:val="24"/>
        </w:rPr>
      </w:pPr>
    </w:p>
    <w:p>
      <w:pPr>
        <w:spacing w:line="360" w:lineRule="auto"/>
        <w:outlineLvl w:val="0"/>
        <w:rPr>
          <w:rFonts w:ascii="Times New Roman" w:hAnsi="Times New Roman"/>
          <w:sz w:val="24"/>
          <w:szCs w:val="24"/>
        </w:rPr>
      </w:pPr>
    </w:p>
    <w:p>
      <w:pPr>
        <w:spacing w:line="360" w:lineRule="auto"/>
        <w:outlineLvl w:val="0"/>
        <w:rPr>
          <w:rFonts w:ascii="Times New Roman" w:hAnsi="Times New Roman"/>
          <w:sz w:val="24"/>
          <w:szCs w:val="24"/>
        </w:rPr>
      </w:pPr>
    </w:p>
    <w:p>
      <w:pPr>
        <w:spacing w:line="360" w:lineRule="auto"/>
        <w:outlineLvl w:val="0"/>
        <w:rPr>
          <w:rFonts w:ascii="Times New Roman" w:hAnsi="Times New Roman"/>
          <w:sz w:val="24"/>
          <w:szCs w:val="24"/>
        </w:rPr>
      </w:pPr>
    </w:p>
    <w:p>
      <w:pPr>
        <w:spacing w:line="360" w:lineRule="auto"/>
        <w:outlineLvl w:val="0"/>
        <w:rPr>
          <w:rFonts w:ascii="Times New Roman" w:hAnsi="Times New Roman"/>
          <w:sz w:val="24"/>
          <w:szCs w:val="24"/>
        </w:rPr>
      </w:pPr>
    </w:p>
    <w:p>
      <w:pPr>
        <w:spacing w:line="360" w:lineRule="auto"/>
        <w:rPr>
          <w:rFonts w:ascii="Times New Roman" w:hAnsi="Times New Roman"/>
          <w:sz w:val="24"/>
          <w:szCs w:val="24"/>
        </w:rPr>
      </w:pPr>
      <w:r>
        <w:rPr>
          <w:rFonts w:hint="eastAsia" w:ascii="Times New Roman" w:hAnsi="Times New Roman"/>
          <w:sz w:val="24"/>
          <w:szCs w:val="24"/>
        </w:rPr>
        <w:t>招标代理机构名称</w:t>
      </w:r>
      <w:r>
        <w:rPr>
          <w:rFonts w:ascii="Times New Roman" w:hAnsi="Times New Roman"/>
          <w:sz w:val="24"/>
          <w:szCs w:val="24"/>
        </w:rPr>
        <w:t>:</w:t>
      </w:r>
      <w:r>
        <w:rPr>
          <w:rFonts w:hint="eastAsia" w:ascii="Times New Roman" w:hAnsi="Times New Roman"/>
          <w:sz w:val="24"/>
          <w:szCs w:val="24"/>
        </w:rPr>
        <w:t>___________________</w:t>
      </w:r>
    </w:p>
    <w:p>
      <w:pPr>
        <w:spacing w:line="360" w:lineRule="auto"/>
        <w:rPr>
          <w:rFonts w:ascii="Times New Roman" w:hAnsi="Times New Roman"/>
          <w:sz w:val="24"/>
          <w:szCs w:val="24"/>
          <w:u w:val="single"/>
        </w:rPr>
      </w:pPr>
      <w:r>
        <w:rPr>
          <w:rFonts w:hint="eastAsia" w:ascii="Times New Roman" w:hAnsi="Times New Roman"/>
          <w:sz w:val="24"/>
          <w:szCs w:val="24"/>
        </w:rPr>
        <w:t>公章：________________________</w:t>
      </w:r>
    </w:p>
    <w:p>
      <w:pPr>
        <w:spacing w:line="360" w:lineRule="auto"/>
        <w:rPr>
          <w:rFonts w:ascii="Times New Roman" w:hAnsi="Times New Roman"/>
          <w:sz w:val="24"/>
          <w:szCs w:val="24"/>
        </w:rPr>
      </w:pPr>
      <w:r>
        <w:rPr>
          <w:rFonts w:hint="eastAsia" w:ascii="Times New Roman" w:hAnsi="Times New Roman"/>
          <w:sz w:val="24"/>
          <w:szCs w:val="24"/>
        </w:rPr>
        <w:t>日期:_________________________</w:t>
      </w:r>
    </w:p>
    <w:p>
      <w:pPr>
        <w:spacing w:line="360" w:lineRule="auto"/>
        <w:jc w:val="center"/>
        <w:rPr>
          <w:rFonts w:ascii="Times New Roman" w:hAnsi="Times New Roman"/>
        </w:rPr>
      </w:pPr>
      <w:r>
        <w:rPr>
          <w:rFonts w:hint="eastAsia" w:ascii="Times New Roman" w:hAnsi="Times New Roman"/>
          <w:sz w:val="24"/>
          <w:szCs w:val="24"/>
        </w:rPr>
        <w:br w:type="page"/>
      </w:r>
    </w:p>
    <w:p>
      <w:pPr>
        <w:spacing w:line="360" w:lineRule="auto"/>
        <w:jc w:val="center"/>
        <w:rPr>
          <w:rFonts w:ascii="Times New Roman" w:hAnsi="Times New Roman" w:cs="黑体"/>
          <w:b/>
          <w:spacing w:val="8"/>
          <w:sz w:val="24"/>
          <w:szCs w:val="24"/>
        </w:rPr>
      </w:pPr>
      <w:r>
        <w:rPr>
          <w:rFonts w:hint="eastAsia" w:ascii="Times New Roman" w:hAnsi="Times New Roman"/>
          <w:b/>
          <w:sz w:val="24"/>
          <w:szCs w:val="24"/>
        </w:rPr>
        <w:t xml:space="preserve">附件四 </w:t>
      </w:r>
      <w:r>
        <w:rPr>
          <w:rFonts w:hint="eastAsia" w:ascii="Times New Roman" w:hAnsi="Times New Roman" w:cs="黑体"/>
          <w:b/>
          <w:spacing w:val="8"/>
          <w:sz w:val="24"/>
          <w:szCs w:val="24"/>
        </w:rPr>
        <w:t>无重大违法记录承诺函（格式）</w:t>
      </w:r>
    </w:p>
    <w:p>
      <w:pPr>
        <w:autoSpaceDE w:val="0"/>
        <w:autoSpaceDN w:val="0"/>
        <w:adjustRightInd w:val="0"/>
        <w:snapToGrid w:val="0"/>
        <w:spacing w:line="360" w:lineRule="auto"/>
        <w:jc w:val="center"/>
        <w:rPr>
          <w:rFonts w:ascii="Times New Roman" w:hAnsi="Times New Roman" w:cs="黑体"/>
          <w:b/>
          <w:spacing w:val="8"/>
          <w:sz w:val="24"/>
          <w:szCs w:val="24"/>
        </w:rPr>
      </w:pPr>
    </w:p>
    <w:p>
      <w:pPr>
        <w:pStyle w:val="9"/>
        <w:spacing w:line="360" w:lineRule="auto"/>
        <w:rPr>
          <w:rFonts w:ascii="Times New Roman" w:hAnsi="Times New Roman"/>
        </w:rPr>
      </w:pPr>
      <w:r>
        <w:rPr>
          <w:rFonts w:hint="eastAsia" w:ascii="Times New Roman" w:hAnsi="Times New Roman"/>
          <w:u w:val="single"/>
        </w:rPr>
        <w:t>上海市中医医院</w:t>
      </w:r>
      <w:r>
        <w:rPr>
          <w:rFonts w:hint="eastAsia" w:ascii="Times New Roman" w:hAnsi="Times New Roman"/>
        </w:rPr>
        <w:t xml:space="preserve">：         </w:t>
      </w:r>
    </w:p>
    <w:p>
      <w:pPr>
        <w:spacing w:beforeLines="50" w:afterLines="50" w:line="360" w:lineRule="auto"/>
        <w:rPr>
          <w:rFonts w:ascii="Times New Roman" w:hAnsi="Times New Roman"/>
          <w:sz w:val="24"/>
          <w:u w:val="single"/>
        </w:rPr>
      </w:pPr>
    </w:p>
    <w:p>
      <w:pPr>
        <w:spacing w:beforeLines="50" w:afterLines="50" w:line="360" w:lineRule="auto"/>
        <w:ind w:firstLine="960" w:firstLineChars="400"/>
        <w:rPr>
          <w:rFonts w:ascii="Times New Roman" w:hAnsi="Times New Roman"/>
          <w:sz w:val="24"/>
        </w:rPr>
      </w:pPr>
      <w:r>
        <w:rPr>
          <w:rFonts w:hint="eastAsia" w:ascii="Times New Roman" w:hAnsi="Times New Roman"/>
          <w:sz w:val="24"/>
          <w:u w:val="single"/>
        </w:rPr>
        <w:t xml:space="preserve">      （投标人名称）     </w:t>
      </w:r>
      <w:r>
        <w:rPr>
          <w:rFonts w:hint="eastAsia" w:ascii="Times New Roman" w:hAnsi="Times New Roman"/>
          <w:sz w:val="24"/>
        </w:rPr>
        <w:t>参加贵院组织的招标代理机构的遴选。在此郑重声明：我公司参加遴选活动前三年内，在经营活动中没有重大违法记录。</w:t>
      </w:r>
    </w:p>
    <w:p>
      <w:pPr>
        <w:spacing w:beforeLines="50" w:afterLines="50" w:line="360" w:lineRule="auto"/>
        <w:rPr>
          <w:rFonts w:ascii="Times New Roman" w:hAnsi="Times New Roman"/>
          <w:sz w:val="24"/>
        </w:rPr>
      </w:pPr>
    </w:p>
    <w:p>
      <w:pPr>
        <w:spacing w:beforeLines="50" w:afterLines="50" w:line="360" w:lineRule="auto"/>
        <w:rPr>
          <w:rFonts w:ascii="Times New Roman" w:hAnsi="Times New Roman"/>
          <w:sz w:val="24"/>
        </w:rPr>
      </w:pPr>
    </w:p>
    <w:p>
      <w:pPr>
        <w:spacing w:beforeLines="50" w:afterLines="50"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hint="eastAsia" w:ascii="Times New Roman" w:hAnsi="Times New Roman"/>
          <w:sz w:val="24"/>
        </w:rPr>
        <w:t>招标代理机构名称</w:t>
      </w:r>
      <w:r>
        <w:rPr>
          <w:rFonts w:ascii="Times New Roman" w:hAnsi="Times New Roman"/>
          <w:sz w:val="24"/>
        </w:rPr>
        <w:t>:</w:t>
      </w:r>
      <w:r>
        <w:rPr>
          <w:rFonts w:hint="eastAsia" w:ascii="Times New Roman" w:hAnsi="Times New Roman"/>
          <w:sz w:val="24"/>
        </w:rPr>
        <w:t xml:space="preserve">______________________   </w:t>
      </w:r>
    </w:p>
    <w:p>
      <w:pPr>
        <w:spacing w:line="360" w:lineRule="auto"/>
        <w:rPr>
          <w:rFonts w:ascii="Times New Roman" w:hAnsi="Times New Roman"/>
          <w:sz w:val="24"/>
          <w:u w:val="single"/>
        </w:rPr>
      </w:pPr>
      <w:r>
        <w:rPr>
          <w:rFonts w:hint="eastAsia" w:ascii="Times New Roman" w:hAnsi="Times New Roman"/>
          <w:sz w:val="24"/>
        </w:rPr>
        <w:t>公章：</w:t>
      </w:r>
      <w:r>
        <w:rPr>
          <w:rFonts w:hint="eastAsia" w:ascii="Times New Roman" w:hAnsi="Times New Roman"/>
          <w:sz w:val="24"/>
          <w:u w:val="single"/>
        </w:rPr>
        <w:t xml:space="preserve">                        </w:t>
      </w:r>
    </w:p>
    <w:p>
      <w:pPr>
        <w:spacing w:line="360" w:lineRule="auto"/>
        <w:rPr>
          <w:rFonts w:ascii="Times New Roman" w:hAnsi="Times New Roman"/>
        </w:rPr>
      </w:pPr>
      <w:r>
        <w:rPr>
          <w:rFonts w:hint="eastAsia" w:ascii="Times New Roman" w:hAnsi="Times New Roman"/>
          <w:sz w:val="24"/>
          <w:szCs w:val="24"/>
        </w:rPr>
        <w:t>日期:_________________________</w:t>
      </w:r>
    </w:p>
    <w:p>
      <w:pPr>
        <w:spacing w:line="360" w:lineRule="auto"/>
        <w:rPr>
          <w:rFonts w:ascii="Times New Roman" w:hAnsi="Times New Roman"/>
          <w:sz w:val="24"/>
          <w:szCs w:val="24"/>
        </w:rPr>
      </w:pPr>
    </w:p>
    <w:p>
      <w:pPr>
        <w:pageBreakBefore/>
        <w:spacing w:line="360" w:lineRule="auto"/>
        <w:jc w:val="center"/>
        <w:rPr>
          <w:rFonts w:ascii="Times New Roman" w:hAnsi="Times New Roman"/>
          <w:b/>
          <w:bCs/>
          <w:sz w:val="24"/>
          <w:szCs w:val="24"/>
        </w:rPr>
      </w:pPr>
      <w:r>
        <w:rPr>
          <w:rFonts w:hint="eastAsia" w:ascii="Times New Roman" w:hAnsi="Times New Roman"/>
          <w:b/>
          <w:bCs/>
          <w:sz w:val="24"/>
          <w:szCs w:val="24"/>
        </w:rPr>
        <w:t>附件五  近两年上海地区医疗机构</w:t>
      </w:r>
      <w:r>
        <w:rPr>
          <w:rFonts w:hint="eastAsia" w:ascii="宋体" w:hAnsi="Courier New"/>
          <w:b/>
          <w:sz w:val="24"/>
        </w:rPr>
        <w:t>相关</w:t>
      </w:r>
      <w:r>
        <w:rPr>
          <w:rFonts w:hint="eastAsia" w:ascii="宋体" w:hAnsi="Courier New"/>
          <w:b/>
          <w:sz w:val="24"/>
          <w:lang w:val="en-US" w:eastAsia="zh-CN"/>
        </w:rPr>
        <w:t>修缮</w:t>
      </w:r>
      <w:r>
        <w:rPr>
          <w:rFonts w:hint="eastAsia" w:ascii="Times New Roman" w:hAnsi="Times New Roman"/>
          <w:b/>
          <w:bCs/>
          <w:sz w:val="24"/>
          <w:szCs w:val="24"/>
        </w:rPr>
        <w:t>项目招标采购的三甲医院清单</w:t>
      </w:r>
    </w:p>
    <w:p>
      <w:pPr>
        <w:pStyle w:val="9"/>
        <w:spacing w:line="360" w:lineRule="auto"/>
        <w:jc w:val="center"/>
        <w:rPr>
          <w:rFonts w:ascii="Times New Roman" w:hAnsi="Times New Roman"/>
          <w:b/>
          <w:bCs/>
        </w:rPr>
      </w:pPr>
      <w:r>
        <w:rPr>
          <w:rFonts w:hint="eastAsia" w:ascii="Times New Roman" w:hAnsi="Times New Roman"/>
          <w:b/>
          <w:bCs/>
        </w:rPr>
        <w:t>（以2</w:t>
      </w:r>
      <w:r>
        <w:rPr>
          <w:rFonts w:ascii="Times New Roman" w:hAnsi="Times New Roman"/>
          <w:b/>
          <w:bCs/>
        </w:rPr>
        <w:t>02</w:t>
      </w:r>
      <w:r>
        <w:rPr>
          <w:rFonts w:hint="eastAsia" w:ascii="Times New Roman" w:hAnsi="Times New Roman"/>
          <w:b/>
          <w:bCs/>
          <w:lang w:val="en-US" w:eastAsia="zh-CN"/>
        </w:rPr>
        <w:t>3</w:t>
      </w:r>
      <w:r>
        <w:rPr>
          <w:rFonts w:hint="eastAsia" w:ascii="Times New Roman" w:hAnsi="Times New Roman"/>
          <w:b/>
          <w:bCs/>
        </w:rPr>
        <w:t>、202</w:t>
      </w:r>
      <w:r>
        <w:rPr>
          <w:rFonts w:hint="eastAsia" w:ascii="Times New Roman" w:hAnsi="Times New Roman"/>
          <w:b/>
          <w:bCs/>
          <w:lang w:val="en-US" w:eastAsia="zh-CN"/>
        </w:rPr>
        <w:t>4</w:t>
      </w:r>
      <w:r>
        <w:rPr>
          <w:rFonts w:hint="eastAsia" w:ascii="Times New Roman" w:hAnsi="Times New Roman"/>
          <w:b/>
          <w:bCs/>
        </w:rPr>
        <w:t>年度合同复印件为准）</w:t>
      </w:r>
    </w:p>
    <w:p>
      <w:pPr>
        <w:pStyle w:val="9"/>
        <w:spacing w:line="360" w:lineRule="auto"/>
        <w:rPr>
          <w:rFonts w:ascii="Times New Roman" w:hAnsi="Times New Roman"/>
        </w:rPr>
      </w:pPr>
      <w:r>
        <w:rPr>
          <w:rFonts w:hint="eastAsia" w:ascii="Times New Roman" w:hAnsi="Times New Roman"/>
        </w:rPr>
        <w:t>招标代理机构名称</w:t>
      </w:r>
      <w:r>
        <w:rPr>
          <w:rFonts w:ascii="Times New Roman" w:hAnsi="Times New Roman"/>
        </w:rPr>
        <w:t>:</w:t>
      </w:r>
      <w:r>
        <w:rPr>
          <w:rFonts w:hint="eastAsia" w:ascii="Times New Roman" w:hAnsi="Times New Roman"/>
        </w:rPr>
        <w:t xml:space="preserve">________________________           </w:t>
      </w:r>
    </w:p>
    <w:tbl>
      <w:tblPr>
        <w:tblStyle w:val="10"/>
        <w:tblW w:w="9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19"/>
        <w:gridCol w:w="2409"/>
        <w:gridCol w:w="2186"/>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序号</w:t>
            </w:r>
          </w:p>
        </w:tc>
        <w:tc>
          <w:tcPr>
            <w:tcW w:w="3119"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合同名称</w:t>
            </w:r>
          </w:p>
        </w:tc>
        <w:tc>
          <w:tcPr>
            <w:tcW w:w="2409"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委托人名称</w:t>
            </w:r>
          </w:p>
        </w:tc>
        <w:tc>
          <w:tcPr>
            <w:tcW w:w="2186"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签约日期</w:t>
            </w:r>
          </w:p>
        </w:tc>
        <w:tc>
          <w:tcPr>
            <w:tcW w:w="1212"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pStyle w:val="15"/>
              <w:spacing w:line="360" w:lineRule="auto"/>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bl>
    <w:p>
      <w:pPr>
        <w:spacing w:line="360" w:lineRule="auto"/>
        <w:rPr>
          <w:rFonts w:ascii="Times New Roman" w:hAnsi="Times New Roman"/>
          <w:sz w:val="24"/>
          <w:szCs w:val="24"/>
        </w:rPr>
      </w:pPr>
    </w:p>
    <w:p>
      <w:pPr>
        <w:spacing w:line="360" w:lineRule="auto"/>
        <w:rPr>
          <w:rFonts w:ascii="Times New Roman" w:hAnsi="Times New Roman"/>
          <w:sz w:val="24"/>
          <w:szCs w:val="24"/>
        </w:rPr>
      </w:pPr>
      <w:r>
        <w:rPr>
          <w:rFonts w:hint="eastAsia" w:ascii="Times New Roman" w:hAnsi="Times New Roman"/>
          <w:sz w:val="24"/>
          <w:szCs w:val="24"/>
        </w:rPr>
        <w:t>招标代理机构名称</w:t>
      </w:r>
      <w:r>
        <w:rPr>
          <w:rFonts w:ascii="Times New Roman" w:hAnsi="Times New Roman"/>
          <w:sz w:val="24"/>
          <w:szCs w:val="24"/>
        </w:rPr>
        <w:t>:</w:t>
      </w:r>
      <w:r>
        <w:rPr>
          <w:rFonts w:hint="eastAsia" w:ascii="Times New Roman" w:hAnsi="Times New Roman"/>
          <w:sz w:val="24"/>
          <w:szCs w:val="24"/>
        </w:rPr>
        <w:t>___________________</w:t>
      </w:r>
    </w:p>
    <w:p>
      <w:pPr>
        <w:spacing w:line="360" w:lineRule="auto"/>
        <w:rPr>
          <w:rFonts w:ascii="Times New Roman" w:hAnsi="Times New Roman"/>
          <w:sz w:val="24"/>
          <w:szCs w:val="24"/>
          <w:u w:val="single"/>
        </w:rPr>
      </w:pPr>
      <w:r>
        <w:rPr>
          <w:rFonts w:hint="eastAsia" w:ascii="Times New Roman" w:hAnsi="Times New Roman"/>
          <w:sz w:val="24"/>
          <w:szCs w:val="24"/>
        </w:rPr>
        <w:t>公章：________________________</w:t>
      </w:r>
    </w:p>
    <w:p>
      <w:pPr>
        <w:spacing w:line="360" w:lineRule="auto"/>
        <w:rPr>
          <w:rFonts w:ascii="Times New Roman" w:hAnsi="Times New Roman"/>
          <w:sz w:val="24"/>
          <w:szCs w:val="24"/>
        </w:rPr>
      </w:pPr>
      <w:r>
        <w:rPr>
          <w:rFonts w:hint="eastAsia" w:ascii="Times New Roman" w:hAnsi="Times New Roman"/>
          <w:sz w:val="24"/>
          <w:szCs w:val="24"/>
        </w:rPr>
        <w:t>日期:_________________________</w:t>
      </w:r>
    </w:p>
    <w:p>
      <w:pPr>
        <w:spacing w:line="360" w:lineRule="auto"/>
        <w:rPr>
          <w:rFonts w:ascii="Times New Roman" w:hAnsi="Times New Roman"/>
        </w:rPr>
      </w:pPr>
    </w:p>
    <w:p>
      <w:pPr>
        <w:pageBreakBefore/>
        <w:spacing w:line="360" w:lineRule="auto"/>
        <w:jc w:val="center"/>
        <w:rPr>
          <w:rFonts w:ascii="Times New Roman" w:hAnsi="Times New Roman"/>
          <w:b/>
          <w:bCs/>
          <w:sz w:val="24"/>
          <w:szCs w:val="24"/>
        </w:rPr>
      </w:pPr>
      <w:r>
        <w:rPr>
          <w:rFonts w:hint="eastAsia" w:ascii="Times New Roman" w:hAnsi="Times New Roman"/>
          <w:b/>
          <w:bCs/>
          <w:sz w:val="24"/>
          <w:szCs w:val="24"/>
        </w:rPr>
        <w:t>附件六  近两年上海地区医疗机构</w:t>
      </w:r>
      <w:r>
        <w:rPr>
          <w:rFonts w:hint="eastAsia" w:ascii="宋体" w:hAnsi="Courier New"/>
          <w:b/>
          <w:sz w:val="24"/>
        </w:rPr>
        <w:t>相关</w:t>
      </w:r>
      <w:r>
        <w:rPr>
          <w:rFonts w:hint="eastAsia" w:ascii="宋体" w:hAnsi="Courier New"/>
          <w:b/>
          <w:sz w:val="24"/>
          <w:lang w:val="en-US" w:eastAsia="zh-CN"/>
        </w:rPr>
        <w:t>修缮类</w:t>
      </w:r>
      <w:r>
        <w:rPr>
          <w:rFonts w:hint="eastAsia" w:ascii="Times New Roman" w:hAnsi="Times New Roman"/>
          <w:b/>
          <w:bCs/>
          <w:sz w:val="24"/>
          <w:szCs w:val="24"/>
        </w:rPr>
        <w:t>项目招标代理业绩清单</w:t>
      </w:r>
    </w:p>
    <w:p>
      <w:pPr>
        <w:spacing w:line="360" w:lineRule="auto"/>
        <w:jc w:val="center"/>
        <w:rPr>
          <w:rFonts w:ascii="Times New Roman" w:hAnsi="Times New Roman"/>
          <w:b/>
          <w:bCs/>
          <w:sz w:val="24"/>
          <w:szCs w:val="24"/>
        </w:rPr>
      </w:pPr>
      <w:r>
        <w:rPr>
          <w:rFonts w:hint="eastAsia" w:ascii="Times New Roman" w:hAnsi="Times New Roman"/>
          <w:b/>
          <w:bCs/>
          <w:sz w:val="24"/>
          <w:szCs w:val="24"/>
        </w:rPr>
        <w:t>（2</w:t>
      </w:r>
      <w:r>
        <w:rPr>
          <w:rFonts w:ascii="Times New Roman" w:hAnsi="Times New Roman"/>
          <w:b/>
          <w:bCs/>
          <w:sz w:val="24"/>
          <w:szCs w:val="24"/>
        </w:rPr>
        <w:t>02</w:t>
      </w:r>
      <w:r>
        <w:rPr>
          <w:rFonts w:hint="eastAsia" w:ascii="Times New Roman" w:hAnsi="Times New Roman"/>
          <w:b/>
          <w:bCs/>
          <w:sz w:val="24"/>
          <w:szCs w:val="24"/>
          <w:lang w:val="en-US" w:eastAsia="zh-CN"/>
        </w:rPr>
        <w:t>3</w:t>
      </w:r>
      <w:r>
        <w:rPr>
          <w:rFonts w:hint="eastAsia" w:ascii="Times New Roman" w:hAnsi="Times New Roman"/>
          <w:b/>
          <w:bCs/>
          <w:sz w:val="24"/>
          <w:szCs w:val="24"/>
        </w:rPr>
        <w:t>、202</w:t>
      </w:r>
      <w:r>
        <w:rPr>
          <w:rFonts w:hint="eastAsia" w:ascii="Times New Roman" w:hAnsi="Times New Roman"/>
          <w:b/>
          <w:bCs/>
          <w:sz w:val="24"/>
          <w:szCs w:val="24"/>
          <w:lang w:val="en-US" w:eastAsia="zh-CN"/>
        </w:rPr>
        <w:t>4</w:t>
      </w:r>
      <w:r>
        <w:rPr>
          <w:rFonts w:hint="eastAsia" w:ascii="Times New Roman" w:hAnsi="Times New Roman"/>
          <w:b/>
          <w:bCs/>
          <w:sz w:val="24"/>
          <w:szCs w:val="24"/>
        </w:rPr>
        <w:t>年度）</w:t>
      </w:r>
    </w:p>
    <w:p>
      <w:pPr>
        <w:pStyle w:val="9"/>
        <w:spacing w:line="360" w:lineRule="auto"/>
        <w:rPr>
          <w:rFonts w:ascii="Times New Roman" w:hAnsi="Times New Roman"/>
        </w:rPr>
      </w:pPr>
      <w:r>
        <w:rPr>
          <w:rFonts w:hint="eastAsia" w:ascii="Times New Roman" w:hAnsi="Times New Roman"/>
        </w:rPr>
        <w:t>招标代理机构名称</w:t>
      </w:r>
      <w:r>
        <w:rPr>
          <w:rFonts w:ascii="Times New Roman" w:hAnsi="Times New Roman"/>
        </w:rPr>
        <w:t>:</w:t>
      </w:r>
      <w:r>
        <w:rPr>
          <w:rFonts w:hint="eastAsia" w:ascii="Times New Roman" w:hAnsi="Times New Roman"/>
        </w:rPr>
        <w:t xml:space="preserve">________________________           </w:t>
      </w:r>
    </w:p>
    <w:tbl>
      <w:tblPr>
        <w:tblStyle w:val="10"/>
        <w:tblW w:w="9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19"/>
        <w:gridCol w:w="2409"/>
        <w:gridCol w:w="2186"/>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序号</w:t>
            </w:r>
          </w:p>
        </w:tc>
        <w:tc>
          <w:tcPr>
            <w:tcW w:w="3119"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项目名称</w:t>
            </w:r>
          </w:p>
        </w:tc>
        <w:tc>
          <w:tcPr>
            <w:tcW w:w="2409"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委托人名称</w:t>
            </w:r>
          </w:p>
        </w:tc>
        <w:tc>
          <w:tcPr>
            <w:tcW w:w="2186"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委托金额</w:t>
            </w:r>
          </w:p>
          <w:p>
            <w:pPr>
              <w:spacing w:line="360" w:lineRule="auto"/>
              <w:jc w:val="center"/>
              <w:rPr>
                <w:rFonts w:ascii="Times New Roman" w:hAnsi="Times New Roman"/>
                <w:sz w:val="24"/>
                <w:szCs w:val="24"/>
              </w:rPr>
            </w:pPr>
            <w:r>
              <w:rPr>
                <w:rFonts w:hint="eastAsia" w:ascii="Times New Roman" w:hAnsi="Times New Roman"/>
                <w:sz w:val="24"/>
                <w:szCs w:val="24"/>
              </w:rPr>
              <w:t>（万元）</w:t>
            </w:r>
          </w:p>
        </w:tc>
        <w:tc>
          <w:tcPr>
            <w:tcW w:w="1212"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pStyle w:val="15"/>
              <w:spacing w:line="360" w:lineRule="auto"/>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bl>
    <w:p>
      <w:pPr>
        <w:spacing w:line="360" w:lineRule="auto"/>
        <w:rPr>
          <w:rFonts w:ascii="Times New Roman" w:hAnsi="Times New Roman"/>
          <w:sz w:val="24"/>
          <w:szCs w:val="24"/>
        </w:rPr>
      </w:pPr>
    </w:p>
    <w:p>
      <w:pPr>
        <w:spacing w:line="360" w:lineRule="auto"/>
        <w:rPr>
          <w:rFonts w:ascii="Times New Roman" w:hAnsi="Times New Roman"/>
          <w:sz w:val="24"/>
          <w:szCs w:val="24"/>
        </w:rPr>
      </w:pPr>
      <w:r>
        <w:rPr>
          <w:rFonts w:hint="eastAsia" w:ascii="Times New Roman" w:hAnsi="Times New Roman"/>
          <w:sz w:val="24"/>
          <w:szCs w:val="24"/>
        </w:rPr>
        <w:t>招标代理机构名称</w:t>
      </w:r>
      <w:r>
        <w:rPr>
          <w:rFonts w:ascii="Times New Roman" w:hAnsi="Times New Roman"/>
          <w:sz w:val="24"/>
          <w:szCs w:val="24"/>
        </w:rPr>
        <w:t>:</w:t>
      </w:r>
      <w:r>
        <w:rPr>
          <w:rFonts w:hint="eastAsia" w:ascii="Times New Roman" w:hAnsi="Times New Roman"/>
          <w:sz w:val="24"/>
          <w:szCs w:val="24"/>
        </w:rPr>
        <w:t>___________________</w:t>
      </w:r>
    </w:p>
    <w:p>
      <w:pPr>
        <w:spacing w:line="360" w:lineRule="auto"/>
        <w:rPr>
          <w:rFonts w:ascii="Times New Roman" w:hAnsi="Times New Roman"/>
          <w:sz w:val="24"/>
          <w:szCs w:val="24"/>
          <w:u w:val="single"/>
        </w:rPr>
      </w:pPr>
      <w:r>
        <w:rPr>
          <w:rFonts w:hint="eastAsia" w:ascii="Times New Roman" w:hAnsi="Times New Roman"/>
          <w:sz w:val="24"/>
          <w:szCs w:val="24"/>
        </w:rPr>
        <w:t>公章：________________________</w:t>
      </w:r>
    </w:p>
    <w:p>
      <w:pPr>
        <w:spacing w:line="360" w:lineRule="auto"/>
        <w:rPr>
          <w:rFonts w:ascii="Times New Roman" w:hAnsi="Times New Roman"/>
          <w:sz w:val="24"/>
          <w:szCs w:val="24"/>
        </w:rPr>
      </w:pPr>
      <w:r>
        <w:rPr>
          <w:rFonts w:hint="eastAsia" w:ascii="Times New Roman" w:hAnsi="Times New Roman"/>
          <w:sz w:val="24"/>
          <w:szCs w:val="24"/>
        </w:rPr>
        <w:t>日期:_________________________</w:t>
      </w:r>
    </w:p>
    <w:p>
      <w:pPr>
        <w:spacing w:line="360" w:lineRule="auto"/>
        <w:jc w:val="center"/>
      </w:pPr>
    </w:p>
    <w:p>
      <w:pPr>
        <w:spacing w:line="276" w:lineRule="auto"/>
        <w:jc w:val="center"/>
        <w:rPr>
          <w:rFonts w:hint="eastAsia" w:ascii="宋体" w:hAnsi="宋体"/>
          <w:b/>
          <w:bCs/>
          <w:sz w:val="28"/>
          <w:szCs w:val="28"/>
          <w:lang w:val="en-US" w:eastAsia="zh-CN"/>
        </w:rPr>
      </w:pPr>
    </w:p>
    <w:p>
      <w:pPr>
        <w:spacing w:line="276" w:lineRule="auto"/>
        <w:jc w:val="center"/>
        <w:rPr>
          <w:rFonts w:hint="eastAsia" w:ascii="宋体" w:hAnsi="宋体"/>
          <w:b/>
          <w:bCs/>
          <w:sz w:val="28"/>
          <w:szCs w:val="28"/>
          <w:lang w:val="en-US" w:eastAsia="zh-CN"/>
        </w:rPr>
      </w:pPr>
    </w:p>
    <w:p>
      <w:pPr>
        <w:spacing w:line="276" w:lineRule="auto"/>
        <w:jc w:val="center"/>
        <w:rPr>
          <w:rFonts w:hint="eastAsia" w:ascii="宋体" w:hAnsi="宋体"/>
          <w:b/>
          <w:bCs/>
          <w:sz w:val="28"/>
          <w:szCs w:val="28"/>
          <w:lang w:val="en-US" w:eastAsia="zh-CN"/>
        </w:rPr>
      </w:pPr>
    </w:p>
    <w:p>
      <w:pPr>
        <w:spacing w:line="276" w:lineRule="auto"/>
        <w:jc w:val="center"/>
        <w:rPr>
          <w:rFonts w:hint="eastAsia" w:ascii="宋体" w:hAnsi="宋体"/>
          <w:b/>
          <w:bCs/>
          <w:sz w:val="28"/>
          <w:szCs w:val="28"/>
          <w:lang w:val="en-US" w:eastAsia="zh-CN"/>
        </w:rPr>
      </w:pPr>
    </w:p>
    <w:p>
      <w:pPr>
        <w:spacing w:line="276" w:lineRule="auto"/>
        <w:jc w:val="center"/>
        <w:rPr>
          <w:rFonts w:hint="eastAsia" w:ascii="宋体" w:hAnsi="宋体"/>
          <w:b/>
          <w:bCs/>
          <w:sz w:val="28"/>
          <w:szCs w:val="28"/>
          <w:lang w:val="en-US" w:eastAsia="zh-CN"/>
        </w:rPr>
      </w:pPr>
    </w:p>
    <w:p>
      <w:pPr>
        <w:spacing w:line="276" w:lineRule="auto"/>
        <w:jc w:val="center"/>
        <w:rPr>
          <w:rFonts w:hint="eastAsia" w:ascii="宋体" w:hAnsi="宋体"/>
          <w:b/>
          <w:bCs/>
          <w:sz w:val="28"/>
          <w:szCs w:val="28"/>
          <w:lang w:val="en-US" w:eastAsia="zh-CN"/>
        </w:rPr>
      </w:pPr>
    </w:p>
    <w:p>
      <w:pPr>
        <w:spacing w:line="276" w:lineRule="auto"/>
        <w:jc w:val="center"/>
        <w:rPr>
          <w:rFonts w:hint="eastAsia" w:ascii="宋体" w:hAnsi="宋体"/>
          <w:b/>
          <w:bCs/>
          <w:sz w:val="28"/>
          <w:szCs w:val="28"/>
          <w:lang w:val="en-US" w:eastAsia="zh-CN"/>
        </w:rPr>
      </w:pPr>
    </w:p>
    <w:p>
      <w:pPr>
        <w:spacing w:line="276" w:lineRule="auto"/>
        <w:jc w:val="center"/>
        <w:rPr>
          <w:rFonts w:hint="eastAsia" w:ascii="宋体" w:hAnsi="宋体"/>
          <w:sz w:val="24"/>
          <w:szCs w:val="24"/>
        </w:rPr>
      </w:pPr>
      <w:r>
        <w:rPr>
          <w:rFonts w:hint="eastAsia" w:ascii="宋体" w:hAnsi="宋体"/>
          <w:b/>
          <w:bCs/>
          <w:sz w:val="28"/>
          <w:szCs w:val="28"/>
          <w:lang w:val="en-US" w:eastAsia="zh-CN"/>
        </w:rPr>
        <w:t>截</w:t>
      </w:r>
      <w:r>
        <w:rPr>
          <w:rFonts w:hint="eastAsia" w:ascii="宋体" w:hAnsi="宋体"/>
          <w:b/>
          <w:bCs/>
          <w:sz w:val="28"/>
          <w:szCs w:val="28"/>
        </w:rPr>
        <w:t>图</w:t>
      </w:r>
    </w:p>
    <w:p>
      <w:pPr>
        <w:spacing w:line="276" w:lineRule="auto"/>
        <w:rPr>
          <w:rFonts w:hint="eastAsia" w:ascii="宋体" w:hAnsi="宋体"/>
          <w:szCs w:val="21"/>
        </w:rPr>
      </w:pPr>
    </w:p>
    <w:p>
      <w:pPr>
        <w:spacing w:line="276" w:lineRule="auto"/>
        <w:rPr>
          <w:rFonts w:hint="eastAsia" w:ascii="宋体" w:hAnsi="宋体"/>
          <w:szCs w:val="21"/>
        </w:rPr>
      </w:pPr>
    </w:p>
    <w:p>
      <w:pPr>
        <w:spacing w:line="276" w:lineRule="auto"/>
        <w:rPr>
          <w:rFonts w:hint="eastAsia" w:ascii="宋体" w:hAnsi="宋体"/>
          <w:szCs w:val="21"/>
        </w:rPr>
      </w:pPr>
      <w:r>
        <w:rPr>
          <w:rFonts w:hint="eastAsia" w:ascii="宋体" w:hAnsi="宋体"/>
          <w:szCs w:val="21"/>
        </w:rPr>
        <w:t>建议供应商自行查询以下网站，响应文件中提供截图。</w:t>
      </w:r>
    </w:p>
    <w:p>
      <w:pPr>
        <w:spacing w:line="276" w:lineRule="auto"/>
        <w:rPr>
          <w:rFonts w:hint="eastAsia" w:ascii="宋体" w:hAnsi="宋体"/>
          <w:szCs w:val="21"/>
        </w:rPr>
      </w:pPr>
    </w:p>
    <w:p>
      <w:pPr>
        <w:spacing w:line="276" w:lineRule="auto"/>
        <w:rPr>
          <w:rFonts w:hint="eastAsia" w:ascii="宋体" w:hAnsi="宋体"/>
          <w:szCs w:val="21"/>
        </w:rPr>
      </w:pPr>
      <w:r>
        <w:rPr>
          <w:rFonts w:hint="eastAsia" w:ascii="宋体" w:hAnsi="宋体"/>
          <w:szCs w:val="21"/>
        </w:rPr>
        <w:t>在“国家企业信用信息公示系统”（www.gsxt.gov.cn）上查询供应商的“行政处罚信息”、“严重违法失信企业名单”。</w:t>
      </w:r>
    </w:p>
    <w:p>
      <w:pPr>
        <w:spacing w:line="276" w:lineRule="auto"/>
        <w:rPr>
          <w:rFonts w:hint="eastAsia" w:ascii="宋体" w:hAnsi="宋体"/>
          <w:szCs w:val="21"/>
        </w:rPr>
      </w:pPr>
    </w:p>
    <w:p>
      <w:pPr>
        <w:spacing w:line="276" w:lineRule="auto"/>
        <w:rPr>
          <w:rFonts w:hint="eastAsia" w:ascii="宋体" w:hAnsi="宋体"/>
          <w:szCs w:val="21"/>
        </w:rPr>
      </w:pPr>
      <w:r>
        <w:rPr>
          <w:rFonts w:hint="eastAsia" w:ascii="宋体" w:hAnsi="宋体"/>
          <w:szCs w:val="21"/>
        </w:rPr>
        <w:t>在“信用中国”网站（www.creditchina.gov.cn）上查询供应商的“失信被执行人”、“重大税收违法案件当事人名单”。</w:t>
      </w:r>
    </w:p>
    <w:p>
      <w:pPr>
        <w:spacing w:line="276" w:lineRule="auto"/>
        <w:rPr>
          <w:rFonts w:hint="eastAsia" w:ascii="宋体" w:hAnsi="宋体"/>
          <w:szCs w:val="21"/>
        </w:rPr>
      </w:pPr>
    </w:p>
    <w:p>
      <w:pPr>
        <w:pStyle w:val="3"/>
        <w:keepNext w:val="0"/>
        <w:keepLines w:val="0"/>
        <w:spacing w:before="0" w:after="0" w:line="360" w:lineRule="auto"/>
        <w:ind w:firstLine="118"/>
        <w:jc w:val="left"/>
        <w:rPr>
          <w:rFonts w:ascii="宋体" w:hAnsi="宋体" w:eastAsia="宋体"/>
          <w:b/>
          <w:sz w:val="24"/>
          <w:szCs w:val="24"/>
        </w:rPr>
        <w:sectPr>
          <w:footerReference r:id="rId3" w:type="default"/>
          <w:pgSz w:w="11850" w:h="16783"/>
          <w:pgMar w:top="1440" w:right="1800" w:bottom="1440" w:left="1800" w:header="720" w:footer="720" w:gutter="0"/>
          <w:cols w:space="720" w:num="1"/>
          <w:docGrid w:linePitch="285" w:charSpace="0"/>
        </w:sectPr>
      </w:pPr>
    </w:p>
    <w:p>
      <w:pPr>
        <w:spacing w:line="360" w:lineRule="auto"/>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fldChar w:fldCharType="begin"/>
    </w:r>
    <w:r>
      <w:instrText xml:space="preserve">PAGE   \* MERGEFORMAT</w:instrText>
    </w:r>
    <w:r>
      <w:fldChar w:fldCharType="separate"/>
    </w:r>
    <w:r>
      <w:rPr>
        <w:lang w:val="zh-CN"/>
      </w:rPr>
      <w:t>28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4EB3E9"/>
    <w:multiLevelType w:val="singleLevel"/>
    <w:tmpl w:val="A94EB3E9"/>
    <w:lvl w:ilvl="0" w:tentative="0">
      <w:start w:val="1"/>
      <w:numFmt w:val="chineseCounting"/>
      <w:suff w:val="nothing"/>
      <w:lvlText w:val="%1、"/>
      <w:lvlJc w:val="left"/>
      <w:pPr>
        <w:ind w:left="0" w:firstLine="420"/>
      </w:pPr>
      <w:rPr>
        <w:rFonts w:hint="eastAsia"/>
      </w:rPr>
    </w:lvl>
  </w:abstractNum>
  <w:abstractNum w:abstractNumId="1">
    <w:nsid w:val="EFB904C5"/>
    <w:multiLevelType w:val="multilevel"/>
    <w:tmpl w:val="EFB904C5"/>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hanging="420"/>
      </w:pPr>
      <w:rPr>
        <w:rFonts w:hint="default" w:ascii="Times New Roman" w:hAnsi="Times New Roman" w:cs="Times New Roman"/>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2">
    <w:nsid w:val="00000000"/>
    <w:multiLevelType w:val="multilevel"/>
    <w:tmpl w:val="00000000"/>
    <w:lvl w:ilvl="0" w:tentative="0">
      <w:start w:val="1"/>
      <w:numFmt w:val="decimal"/>
      <w:lvlText w:val="%1、"/>
      <w:legacy w:legacy="1" w:legacySpace="0" w:legacyIndent="420"/>
      <w:lvlJc w:val="left"/>
      <w:pPr>
        <w:ind w:left="420" w:hanging="420"/>
      </w:pPr>
      <w:rPr>
        <w:rFonts w:hint="default" w:ascii="Times New Roman" w:hAnsi="Times New Roman" w:cs="Times New Roman"/>
        <w:b w:val="0"/>
        <w:bCs w:val="0"/>
        <w:i w:val="0"/>
        <w:iCs w:val="0"/>
        <w:sz w:val="24"/>
        <w:szCs w:val="24"/>
        <w:u w:val="none"/>
      </w:rPr>
    </w:lvl>
    <w:lvl w:ilvl="1" w:tentative="0">
      <w:start w:val="1"/>
      <w:numFmt w:val="lowerLetter"/>
      <w:lvlText w:val="%2)"/>
      <w:lvlJc w:val="left"/>
      <w:pPr>
        <w:tabs>
          <w:tab w:val="left" w:pos="840"/>
        </w:tabs>
        <w:ind w:left="480" w:hanging="420"/>
      </w:pPr>
    </w:lvl>
    <w:lvl w:ilvl="2" w:tentative="0">
      <w:start w:val="1"/>
      <w:numFmt w:val="lowerRoman"/>
      <w:lvlText w:val="%3."/>
      <w:lvlJc w:val="right"/>
      <w:pPr>
        <w:tabs>
          <w:tab w:val="left" w:pos="1260"/>
        </w:tabs>
        <w:ind w:left="900" w:hanging="420"/>
      </w:pPr>
    </w:lvl>
    <w:lvl w:ilvl="3" w:tentative="0">
      <w:start w:val="1"/>
      <w:numFmt w:val="decimal"/>
      <w:lvlText w:val="%4."/>
      <w:lvlJc w:val="left"/>
      <w:pPr>
        <w:tabs>
          <w:tab w:val="left" w:pos="1680"/>
        </w:tabs>
        <w:ind w:left="1320" w:hanging="420"/>
      </w:pPr>
    </w:lvl>
    <w:lvl w:ilvl="4" w:tentative="0">
      <w:start w:val="1"/>
      <w:numFmt w:val="lowerLetter"/>
      <w:lvlText w:val="%5)"/>
      <w:lvlJc w:val="left"/>
      <w:pPr>
        <w:tabs>
          <w:tab w:val="left" w:pos="2100"/>
        </w:tabs>
        <w:ind w:left="1740" w:hanging="420"/>
      </w:pPr>
    </w:lvl>
    <w:lvl w:ilvl="5" w:tentative="0">
      <w:start w:val="1"/>
      <w:numFmt w:val="lowerRoman"/>
      <w:lvlText w:val="%6."/>
      <w:lvlJc w:val="right"/>
      <w:pPr>
        <w:tabs>
          <w:tab w:val="left" w:pos="2520"/>
        </w:tabs>
        <w:ind w:left="2160" w:hanging="420"/>
      </w:pPr>
    </w:lvl>
    <w:lvl w:ilvl="6" w:tentative="0">
      <w:start w:val="1"/>
      <w:numFmt w:val="decimal"/>
      <w:lvlText w:val="%7."/>
      <w:lvlJc w:val="left"/>
      <w:pPr>
        <w:tabs>
          <w:tab w:val="left" w:pos="2940"/>
        </w:tabs>
        <w:ind w:left="2580" w:hanging="420"/>
      </w:pPr>
    </w:lvl>
    <w:lvl w:ilvl="7" w:tentative="0">
      <w:start w:val="1"/>
      <w:numFmt w:val="lowerLetter"/>
      <w:lvlText w:val="%8)"/>
      <w:lvlJc w:val="left"/>
      <w:pPr>
        <w:tabs>
          <w:tab w:val="left" w:pos="3360"/>
        </w:tabs>
        <w:ind w:left="3000" w:hanging="420"/>
      </w:pPr>
    </w:lvl>
    <w:lvl w:ilvl="8" w:tentative="0">
      <w:start w:val="1"/>
      <w:numFmt w:val="lowerRoman"/>
      <w:lvlText w:val="%9."/>
      <w:lvlJc w:val="right"/>
      <w:pPr>
        <w:tabs>
          <w:tab w:val="left" w:pos="3780"/>
        </w:tabs>
        <w:ind w:left="3420" w:hanging="420"/>
      </w:pPr>
    </w:lvl>
  </w:abstractNum>
  <w:abstractNum w:abstractNumId="3">
    <w:nsid w:val="54ED6293"/>
    <w:multiLevelType w:val="multilevel"/>
    <w:tmpl w:val="54ED6293"/>
    <w:lvl w:ilvl="0" w:tentative="0">
      <w:start w:val="1"/>
      <w:numFmt w:val="decimal"/>
      <w:lvlText w:val="%1."/>
      <w:lvlJc w:val="left"/>
      <w:pPr>
        <w:ind w:left="780" w:hanging="420"/>
      </w:pPr>
    </w:lvl>
    <w:lvl w:ilvl="1" w:tentative="0">
      <w:start w:val="1"/>
      <w:numFmt w:val="decimal"/>
      <w:lvlText w:val="%2、"/>
      <w:lvlJc w:val="left"/>
      <w:pPr>
        <w:ind w:left="1620" w:hanging="840"/>
      </w:pPr>
      <w:rPr>
        <w:rFonts w:hint="default"/>
      </w:r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OWI5YjE3MjNkNWI1YWRkYjhjNDcwNDQ5NWI1NGUifQ=="/>
  </w:docVars>
  <w:rsids>
    <w:rsidRoot w:val="0006515F"/>
    <w:rsid w:val="00057912"/>
    <w:rsid w:val="0006515F"/>
    <w:rsid w:val="000C2CCA"/>
    <w:rsid w:val="001470B1"/>
    <w:rsid w:val="00181BC7"/>
    <w:rsid w:val="001E33E2"/>
    <w:rsid w:val="001F24D7"/>
    <w:rsid w:val="00220E4A"/>
    <w:rsid w:val="0026635B"/>
    <w:rsid w:val="002D510E"/>
    <w:rsid w:val="003150E4"/>
    <w:rsid w:val="003339C7"/>
    <w:rsid w:val="00362D9E"/>
    <w:rsid w:val="003832A1"/>
    <w:rsid w:val="00386AA2"/>
    <w:rsid w:val="00441957"/>
    <w:rsid w:val="004743E2"/>
    <w:rsid w:val="004F7424"/>
    <w:rsid w:val="00545181"/>
    <w:rsid w:val="00555D4B"/>
    <w:rsid w:val="00576E4E"/>
    <w:rsid w:val="005D6B3B"/>
    <w:rsid w:val="00622559"/>
    <w:rsid w:val="00666996"/>
    <w:rsid w:val="006A4EA1"/>
    <w:rsid w:val="006B2D40"/>
    <w:rsid w:val="007062A9"/>
    <w:rsid w:val="00780BC9"/>
    <w:rsid w:val="007A64F1"/>
    <w:rsid w:val="007C4746"/>
    <w:rsid w:val="008309BF"/>
    <w:rsid w:val="008B2897"/>
    <w:rsid w:val="008D309F"/>
    <w:rsid w:val="008E258B"/>
    <w:rsid w:val="0099790E"/>
    <w:rsid w:val="009A0F6A"/>
    <w:rsid w:val="009A375D"/>
    <w:rsid w:val="009B7116"/>
    <w:rsid w:val="009C036D"/>
    <w:rsid w:val="009C487E"/>
    <w:rsid w:val="009E3E58"/>
    <w:rsid w:val="00A54262"/>
    <w:rsid w:val="00AD5265"/>
    <w:rsid w:val="00AE3C0D"/>
    <w:rsid w:val="00AF2F66"/>
    <w:rsid w:val="00B420A4"/>
    <w:rsid w:val="00B42F31"/>
    <w:rsid w:val="00BA05BF"/>
    <w:rsid w:val="00BA1C4D"/>
    <w:rsid w:val="00C15DC7"/>
    <w:rsid w:val="00C42004"/>
    <w:rsid w:val="00C64620"/>
    <w:rsid w:val="00CA27F9"/>
    <w:rsid w:val="00CF5053"/>
    <w:rsid w:val="00D406C1"/>
    <w:rsid w:val="00D767FB"/>
    <w:rsid w:val="00D91490"/>
    <w:rsid w:val="00DA2806"/>
    <w:rsid w:val="00DB6E3C"/>
    <w:rsid w:val="00DC126A"/>
    <w:rsid w:val="00DD7478"/>
    <w:rsid w:val="00DF609F"/>
    <w:rsid w:val="00E03901"/>
    <w:rsid w:val="00E56507"/>
    <w:rsid w:val="00E74D59"/>
    <w:rsid w:val="00E92646"/>
    <w:rsid w:val="00EE64BB"/>
    <w:rsid w:val="00EE7CD1"/>
    <w:rsid w:val="00F44211"/>
    <w:rsid w:val="00F669B5"/>
    <w:rsid w:val="00F775F7"/>
    <w:rsid w:val="00FA175F"/>
    <w:rsid w:val="00FA56F4"/>
    <w:rsid w:val="00FC48A9"/>
    <w:rsid w:val="06E1542B"/>
    <w:rsid w:val="072215A0"/>
    <w:rsid w:val="09E905BE"/>
    <w:rsid w:val="0BCD1E67"/>
    <w:rsid w:val="192D29EF"/>
    <w:rsid w:val="1D9D15CE"/>
    <w:rsid w:val="1E4C07D1"/>
    <w:rsid w:val="1E5E068E"/>
    <w:rsid w:val="224E3DA9"/>
    <w:rsid w:val="2627075D"/>
    <w:rsid w:val="27D72998"/>
    <w:rsid w:val="2BEF79CE"/>
    <w:rsid w:val="2CEB3313"/>
    <w:rsid w:val="2D5D059D"/>
    <w:rsid w:val="2EBC699B"/>
    <w:rsid w:val="2EE02F0F"/>
    <w:rsid w:val="2EE8789A"/>
    <w:rsid w:val="37C05BF3"/>
    <w:rsid w:val="37DF0EDE"/>
    <w:rsid w:val="3CA06F24"/>
    <w:rsid w:val="40AD0911"/>
    <w:rsid w:val="444225C3"/>
    <w:rsid w:val="4F18521F"/>
    <w:rsid w:val="4F7164BE"/>
    <w:rsid w:val="4F984CAC"/>
    <w:rsid w:val="50D70992"/>
    <w:rsid w:val="51D604CF"/>
    <w:rsid w:val="689940E6"/>
    <w:rsid w:val="6A446F7E"/>
    <w:rsid w:val="6BFD0266"/>
    <w:rsid w:val="7287585B"/>
    <w:rsid w:val="78D615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widowControl w:val="0"/>
      <w:spacing w:before="260" w:beforeLines="0" w:beforeAutospacing="0" w:after="260" w:afterLines="0" w:afterAutospacing="0" w:line="412" w:lineRule="auto"/>
      <w:ind w:firstLine="49" w:firstLineChars="49"/>
      <w:outlineLvl w:val="2"/>
    </w:pPr>
    <w:rPr>
      <w:rFonts w:ascii="黑体" w:hAnsi="Calibri" w:eastAsia="黑体"/>
      <w:sz w:val="28"/>
      <w:szCs w:val="20"/>
    </w:rPr>
  </w:style>
  <w:style w:type="character" w:default="1" w:styleId="11">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4">
    <w:name w:val="Body Text Indent"/>
    <w:basedOn w:val="1"/>
    <w:link w:val="14"/>
    <w:qFormat/>
    <w:uiPriority w:val="0"/>
    <w:pPr>
      <w:widowControl/>
      <w:spacing w:after="120"/>
      <w:ind w:left="420" w:leftChars="200"/>
      <w:jc w:val="left"/>
    </w:pPr>
    <w:rPr>
      <w:rFonts w:ascii="Times New Roman" w:hAnsi="Times New Roman" w:eastAsia="宋体" w:cs="Times New Roman"/>
      <w:kern w:val="0"/>
      <w:szCs w:val="20"/>
    </w:rPr>
  </w:style>
  <w:style w:type="paragraph" w:styleId="5">
    <w:name w:val="Plain Text"/>
    <w:basedOn w:val="1"/>
    <w:qFormat/>
    <w:uiPriority w:val="0"/>
    <w:rPr>
      <w:rFonts w:ascii="宋体" w:hAnsi="Courier New"/>
    </w:rPr>
  </w:style>
  <w:style w:type="paragraph" w:styleId="6">
    <w:name w:val="Balloon Text"/>
    <w:basedOn w:val="1"/>
    <w:link w:val="13"/>
    <w:semiHidden/>
    <w:unhideWhenUsed/>
    <w:qFormat/>
    <w:uiPriority w:val="99"/>
    <w:rPr>
      <w:sz w:val="18"/>
      <w:szCs w:val="18"/>
    </w:rPr>
  </w:style>
  <w:style w:type="paragraph" w:styleId="7">
    <w:name w:val="footer"/>
    <w:basedOn w:val="1"/>
    <w:link w:val="17"/>
    <w:semiHidden/>
    <w:unhideWhenUsed/>
    <w:qFormat/>
    <w:uiPriority w:val="99"/>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Hyperlink"/>
    <w:qFormat/>
    <w:uiPriority w:val="0"/>
    <w:rPr>
      <w:rFonts w:ascii="Calibri" w:hAnsi="Calibri" w:eastAsia="宋体" w:cs="Times New Roman"/>
      <w:color w:val="0000FF"/>
      <w:u w:val="single"/>
    </w:rPr>
  </w:style>
  <w:style w:type="character" w:customStyle="1" w:styleId="13">
    <w:name w:val="批注框文本 Char"/>
    <w:basedOn w:val="11"/>
    <w:link w:val="6"/>
    <w:semiHidden/>
    <w:qFormat/>
    <w:uiPriority w:val="99"/>
    <w:rPr>
      <w:sz w:val="18"/>
      <w:szCs w:val="18"/>
    </w:rPr>
  </w:style>
  <w:style w:type="character" w:customStyle="1" w:styleId="14">
    <w:name w:val="正文文本缩进 Char"/>
    <w:basedOn w:val="11"/>
    <w:link w:val="4"/>
    <w:qFormat/>
    <w:uiPriority w:val="0"/>
    <w:rPr>
      <w:rFonts w:ascii="Times New Roman" w:hAnsi="Times New Roman" w:eastAsia="宋体" w:cs="Times New Roman"/>
      <w:kern w:val="0"/>
      <w:szCs w:val="20"/>
    </w:rPr>
  </w:style>
  <w:style w:type="paragraph" w:customStyle="1" w:styleId="15">
    <w:name w:val="Char"/>
    <w:basedOn w:val="1"/>
    <w:qFormat/>
    <w:uiPriority w:val="0"/>
    <w:rPr>
      <w:rFonts w:ascii="Tahoma" w:hAnsi="Tahoma" w:eastAsia="宋体" w:cs="Times New Roman"/>
      <w:sz w:val="24"/>
      <w:szCs w:val="20"/>
    </w:rPr>
  </w:style>
  <w:style w:type="character" w:customStyle="1" w:styleId="16">
    <w:name w:val="页眉 Char"/>
    <w:basedOn w:val="11"/>
    <w:link w:val="8"/>
    <w:semiHidden/>
    <w:qFormat/>
    <w:uiPriority w:val="99"/>
    <w:rPr>
      <w:sz w:val="18"/>
      <w:szCs w:val="18"/>
    </w:rPr>
  </w:style>
  <w:style w:type="character" w:customStyle="1" w:styleId="17">
    <w:name w:val="页脚 Char"/>
    <w:basedOn w:val="11"/>
    <w:link w:val="7"/>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978</Words>
  <Characters>5578</Characters>
  <Lines>46</Lines>
  <Paragraphs>13</Paragraphs>
  <TotalTime>14</TotalTime>
  <ScaleCrop>false</ScaleCrop>
  <LinksUpToDate>false</LinksUpToDate>
  <CharactersWithSpaces>6543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2023-02-24T08:36:00Z</dcterms:created>
  <dc:creator>hxy</dc:creator>
  <cp:lastModifiedBy>刘琳君</cp:lastModifiedBy>
  <cp:lastPrinted>2023-01-05T09:21:00Z</cp:lastPrinted>
  <dcterms:modified xsi:type="dcterms:W3CDTF">2025-03-21T00:24:01Z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88756EEE95BF4146B330D65E7D734C4D</vt:lpwstr>
  </property>
</Properties>
</file>