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Adobe 黑体 Std R" w:hAnsi="Adobe 黑体 Std R" w:eastAsia="Adobe 黑体 Std R"/>
          <w:bCs/>
          <w:sz w:val="72"/>
          <w:szCs w:val="72"/>
          <w:highlight w:val="none"/>
        </w:rPr>
      </w:pPr>
      <w:bookmarkStart w:id="0" w:name="_Toc209852933"/>
      <w:bookmarkStart w:id="1" w:name="_Toc9066358"/>
    </w:p>
    <w:p>
      <w:pPr>
        <w:pStyle w:val="15"/>
        <w:rPr>
          <w:rFonts w:ascii="Adobe 黑体 Std R" w:hAnsi="Adobe 黑体 Std R" w:eastAsia="Adobe 黑体 Std R"/>
          <w:bCs/>
          <w:sz w:val="72"/>
          <w:szCs w:val="72"/>
          <w:highlight w:val="none"/>
        </w:rPr>
      </w:pPr>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jc w:val="both"/>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5</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02</w:t>
      </w:r>
      <w:r>
        <w:rPr>
          <w:rFonts w:hint="eastAsia" w:ascii="Times New Roman" w:hAnsi="Times New Roman" w:eastAsia="宋体"/>
          <w:b/>
          <w:sz w:val="36"/>
          <w:szCs w:val="36"/>
          <w:highlight w:val="none"/>
        </w:rPr>
        <w:t>月</w:t>
      </w:r>
      <w:bookmarkStart w:id="2" w:name="_Toc11326092"/>
    </w:p>
    <w:p>
      <w:pPr>
        <w:pStyle w:val="15"/>
        <w:rPr>
          <w:rFonts w:hint="eastAsia" w:ascii="Times New Roman" w:hAnsi="Times New Roman" w:eastAsia="宋体"/>
          <w:b/>
          <w:sz w:val="36"/>
          <w:szCs w:val="36"/>
          <w:highlight w:val="none"/>
        </w:rPr>
      </w:pPr>
    </w:p>
    <w:p>
      <w:pPr>
        <w:pStyle w:val="15"/>
        <w:rPr>
          <w:rFonts w:hint="eastAsia" w:ascii="Times New Roman" w:hAnsi="Times New Roman" w:eastAsia="宋体"/>
          <w:b/>
          <w:sz w:val="36"/>
          <w:szCs w:val="36"/>
          <w:highlight w:val="none"/>
        </w:r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default" w:ascii="宋体" w:hAnsi="宋体" w:eastAsia="宋体"/>
          <w:kern w:val="0"/>
          <w:sz w:val="24"/>
          <w:szCs w:val="24"/>
          <w:highlight w:val="none"/>
          <w:lang w:val="en-US"/>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val="en-US" w:eastAsia="zh-CN"/>
        </w:rPr>
        <w:t>临床试验用药（颗粒剂）</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w:t>
      </w:r>
      <w:r>
        <w:rPr>
          <w:rFonts w:hint="eastAsia" w:ascii="宋体" w:hAnsi="宋体" w:eastAsia="宋体"/>
          <w:kern w:val="0"/>
          <w:sz w:val="24"/>
          <w:szCs w:val="24"/>
          <w:highlight w:val="none"/>
          <w:lang w:eastAsia="zh-CN"/>
        </w:rPr>
        <w:t>第三章</w:t>
      </w:r>
      <w:r>
        <w:rPr>
          <w:rFonts w:hint="eastAsia" w:ascii="宋体" w:hAnsi="宋体" w:eastAsia="宋体"/>
          <w:kern w:val="0"/>
          <w:sz w:val="24"/>
          <w:szCs w:val="24"/>
          <w:highlight w:val="none"/>
        </w:rPr>
        <w:t>“货物需求一览表及技术规格”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84"/>
      <w:bookmarkStart w:id="6"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 xml:space="preserve">年 </w:t>
      </w:r>
      <w:r>
        <w:rPr>
          <w:rFonts w:hint="eastAsia" w:ascii="宋体" w:hAnsi="宋体" w:eastAsia="宋体" w:cs="Times New Roman"/>
          <w:sz w:val="24"/>
          <w:szCs w:val="24"/>
          <w:highlight w:val="none"/>
          <w:lang w:val="en-US" w:eastAsia="zh-CN"/>
        </w:rPr>
        <w:t>02</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02</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17</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02</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1"/>
      <w:bookmarkStart w:id="8" w:name="OLE_LINK16"/>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11326093"/>
      <w:bookmarkStart w:id="10" w:name="_Toc516880880"/>
      <w:bookmarkStart w:id="11" w:name="_Toc9066359"/>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val="en-US" w:eastAsia="zh-CN"/>
              </w:rPr>
              <w:t>临床试验用药（颗粒剂）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bookmarkStart w:id="61" w:name="_GoBack"/>
            <w:r>
              <w:rPr>
                <w:rFonts w:hint="eastAsia" w:ascii="宋体" w:hAnsi="宋体" w:eastAsia="宋体" w:cs="Times New Roman"/>
                <w:sz w:val="24"/>
                <w:szCs w:val="20"/>
                <w:highlight w:val="none"/>
              </w:rPr>
              <w:t>★</w:t>
            </w:r>
            <w:bookmarkEnd w:id="61"/>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.货物说明一览表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供应商应按《竞争性谈判通知书》要求填写技术规格响应/偏离表、商务条款响应/偏离表。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7.售后服务</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8</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lang w:eastAsia="zh-CN"/>
              </w:rPr>
              <w:t>第三章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w:t>
            </w:r>
            <w:r>
              <w:rPr>
                <w:rFonts w:hint="eastAsia" w:ascii="宋体" w:hAnsi="宋体" w:eastAsia="宋体" w:cs="Times New Roman"/>
                <w:sz w:val="24"/>
                <w:szCs w:val="20"/>
                <w:highlight w:val="none"/>
                <w:lang w:eastAsia="zh-CN"/>
              </w:rPr>
              <w:t>第三章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提供固定营业场所的产权证明或租赁合同复印件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）供应商是专业生产本次所需产品的制造商，或由制造商指定一个代理商作为本次投标的唯一授权代理；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（格式见附件</w:t>
            </w:r>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供应商需提供无行贿犯罪记录声明函；（格式见附件</w:t>
            </w: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7</w:t>
            </w:r>
            <w:r>
              <w:rPr>
                <w:rFonts w:hint="eastAsia" w:asciiTheme="minorEastAsia" w:hAnsiTheme="minorEastAsia" w:eastAsiaTheme="minorEastAsia"/>
                <w:sz w:val="24"/>
                <w:szCs w:val="24"/>
                <w:highlight w:val="none"/>
              </w:rPr>
              <w:t>）需提供被授权人在本单位的社保缴纳证明（近6个月内任意一个月）。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（3）谈判小组</w:t>
            </w:r>
            <w:r>
              <w:rPr>
                <w:rFonts w:hint="eastAsia" w:ascii="宋体" w:hAnsi="宋体" w:eastAsia="宋体" w:cs="Times New Roman"/>
                <w:sz w:val="24"/>
                <w:szCs w:val="20"/>
                <w:highlight w:val="none"/>
                <w:lang w:val="en-US" w:eastAsia="zh-CN"/>
              </w:rPr>
              <w:t>将</w:t>
            </w:r>
            <w:r>
              <w:rPr>
                <w:rFonts w:hint="eastAsia" w:ascii="宋体" w:hAnsi="宋体" w:eastAsia="宋体" w:cs="Times New Roman"/>
                <w:sz w:val="24"/>
                <w:szCs w:val="20"/>
                <w:highlight w:val="none"/>
              </w:rPr>
              <w:t>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12</w:t>
            </w: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keepNext/>
        <w:keepLines/>
        <w:pageBreakBefore w:val="0"/>
        <w:widowControl w:val="0"/>
        <w:kinsoku/>
        <w:wordWrap/>
        <w:overflowPunct/>
        <w:topLinePunct w:val="0"/>
        <w:autoSpaceDE/>
        <w:autoSpaceDN/>
        <w:bidi w:val="0"/>
        <w:adjustRightInd/>
        <w:snapToGrid/>
        <w:spacing w:line="20" w:lineRule="exact"/>
        <w:jc w:val="both"/>
        <w:textAlignment w:val="auto"/>
        <w:outlineLvl w:val="0"/>
        <w:rPr>
          <w:rFonts w:hint="eastAsia" w:ascii="Times New Roman" w:hAnsi="Times New Roman" w:eastAsia="宋体" w:cs="Times New Roman"/>
          <w:b/>
          <w:kern w:val="44"/>
          <w:sz w:val="36"/>
          <w:szCs w:val="20"/>
          <w:highlight w:val="none"/>
        </w:rPr>
      </w:pPr>
      <w:bookmarkStart w:id="12" w:name="_Toc9066360"/>
      <w:bookmarkStart w:id="13" w:name="_Toc11326094"/>
    </w:p>
    <w:p>
      <w:pPr>
        <w:keepNext/>
        <w:keepLines/>
        <w:pageBreakBefore w:val="0"/>
        <w:widowControl w:val="0"/>
        <w:kinsoku/>
        <w:wordWrap/>
        <w:overflowPunct/>
        <w:topLinePunct w:val="0"/>
        <w:autoSpaceDE/>
        <w:autoSpaceDN/>
        <w:bidi w:val="0"/>
        <w:adjustRightInd/>
        <w:snapToGrid/>
        <w:spacing w:line="20" w:lineRule="exact"/>
        <w:jc w:val="both"/>
        <w:textAlignment w:val="auto"/>
        <w:outlineLvl w:val="0"/>
        <w:rPr>
          <w:rFonts w:hint="eastAsia" w:ascii="Times New Roman" w:hAnsi="Times New Roman" w:eastAsia="宋体" w:cs="Times New Roman"/>
          <w:b/>
          <w:kern w:val="44"/>
          <w:sz w:val="36"/>
          <w:szCs w:val="20"/>
          <w:highlight w:val="none"/>
        </w:rPr>
      </w:pPr>
    </w:p>
    <w:p>
      <w:pPr>
        <w:keepNext/>
        <w:keepLines/>
        <w:spacing w:before="260" w:after="260" w:line="360" w:lineRule="auto"/>
        <w:jc w:val="both"/>
        <w:outlineLvl w:val="0"/>
        <w:rPr>
          <w:rFonts w:hint="eastAsia" w:ascii="Times New Roman" w:hAnsi="Times New Roman" w:eastAsia="宋体" w:cs="Times New Roman"/>
          <w:b/>
          <w:kern w:val="44"/>
          <w:sz w:val="36"/>
          <w:szCs w:val="20"/>
          <w:highlight w:val="none"/>
        </w:rPr>
      </w:pPr>
    </w:p>
    <w:p>
      <w:pPr>
        <w:keepNext/>
        <w:keepLines/>
        <w:spacing w:before="260" w:after="260" w:line="360" w:lineRule="auto"/>
        <w:jc w:val="both"/>
        <w:outlineLvl w:val="0"/>
        <w:rPr>
          <w:rFonts w:hint="eastAsia" w:ascii="Times New Roman" w:hAnsi="Times New Roman" w:eastAsia="宋体" w:cs="Times New Roman"/>
          <w:b/>
          <w:kern w:val="44"/>
          <w:sz w:val="36"/>
          <w:szCs w:val="20"/>
          <w:highlight w:val="none"/>
        </w:rPr>
      </w:pPr>
    </w:p>
    <w:p>
      <w:pPr>
        <w:pStyle w:val="15"/>
        <w:rPr>
          <w:rFonts w:hint="eastAsia" w:ascii="Times New Roman" w:hAnsi="Times New Roman" w:eastAsia="宋体" w:cs="Times New Roman"/>
          <w:b/>
          <w:kern w:val="44"/>
          <w:sz w:val="36"/>
          <w:szCs w:val="20"/>
          <w:highlight w:val="none"/>
        </w:rPr>
      </w:pPr>
    </w:p>
    <w:p>
      <w:pPr>
        <w:pStyle w:val="15"/>
        <w:rPr>
          <w:rFonts w:hint="eastAsia" w:ascii="Times New Roman" w:hAnsi="Times New Roman" w:eastAsia="宋体" w:cs="Times New Roman"/>
          <w:b/>
          <w:kern w:val="44"/>
          <w:sz w:val="36"/>
          <w:szCs w:val="20"/>
          <w:highlight w:val="none"/>
        </w:rPr>
      </w:pP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第三章  货物需求一览表及技术规格</w:t>
      </w:r>
    </w:p>
    <w:bookmarkEnd w:id="12"/>
    <w:bookmarkEnd w:id="13"/>
    <w:p>
      <w:pPr>
        <w:numPr>
          <w:ilvl w:val="0"/>
          <w:numId w:val="3"/>
        </w:numPr>
        <w:adjustRightInd w:val="0"/>
        <w:snapToGrid w:val="0"/>
        <w:spacing w:line="360" w:lineRule="auto"/>
        <w:ind w:left="-420" w:leftChars="0" w:firstLine="420" w:firstLineChars="0"/>
        <w:jc w:val="left"/>
        <w:rPr>
          <w:rFonts w:ascii="宋体" w:hAnsi="宋体"/>
          <w:sz w:val="24"/>
        </w:rPr>
      </w:pPr>
      <w:bookmarkStart w:id="14" w:name="_Toc11326096"/>
      <w:r>
        <w:rPr>
          <w:rFonts w:hint="eastAsia" w:ascii="宋体" w:hAnsi="宋体"/>
          <w:sz w:val="24"/>
        </w:rPr>
        <w:t>项目名称：</w:t>
      </w:r>
      <w:r>
        <w:rPr>
          <w:rFonts w:hint="eastAsia" w:ascii="宋体" w:hAnsi="宋体"/>
          <w:bCs/>
          <w:sz w:val="24"/>
          <w:lang w:val="en-US" w:eastAsia="zh-CN"/>
        </w:rPr>
        <w:t>临床试验用药（颗粒剂）</w:t>
      </w:r>
    </w:p>
    <w:p>
      <w:pPr>
        <w:numPr>
          <w:ilvl w:val="0"/>
          <w:numId w:val="3"/>
        </w:numPr>
        <w:adjustRightInd w:val="0"/>
        <w:snapToGrid w:val="0"/>
        <w:spacing w:line="360" w:lineRule="auto"/>
        <w:ind w:left="-420" w:leftChars="0" w:firstLine="420" w:firstLineChars="0"/>
        <w:jc w:val="left"/>
        <w:rPr>
          <w:rFonts w:ascii="宋体" w:hAnsi="宋体"/>
          <w:sz w:val="24"/>
        </w:rPr>
      </w:pPr>
      <w:r>
        <w:rPr>
          <w:rFonts w:hint="eastAsia" w:ascii="宋体" w:hAnsi="宋体"/>
          <w:sz w:val="24"/>
        </w:rPr>
        <w:t>服务地点：招标人指定地点</w:t>
      </w:r>
    </w:p>
    <w:p>
      <w:pPr>
        <w:numPr>
          <w:ilvl w:val="0"/>
          <w:numId w:val="3"/>
        </w:numPr>
        <w:adjustRightInd w:val="0"/>
        <w:snapToGrid w:val="0"/>
        <w:spacing w:line="360" w:lineRule="auto"/>
        <w:ind w:left="-420" w:leftChars="0" w:firstLine="420" w:firstLineChars="0"/>
        <w:jc w:val="left"/>
        <w:rPr>
          <w:rFonts w:hint="eastAsia" w:ascii="宋体" w:hAnsi="宋体" w:eastAsia="宋体"/>
          <w:sz w:val="24"/>
        </w:rPr>
      </w:pPr>
      <w:r>
        <w:rPr>
          <w:rFonts w:hint="eastAsia" w:ascii="宋体" w:hAnsi="宋体"/>
          <w:sz w:val="24"/>
          <w:lang w:val="en-US" w:eastAsia="zh-CN"/>
        </w:rPr>
        <w:t>交货</w:t>
      </w:r>
      <w:r>
        <w:rPr>
          <w:rFonts w:hint="eastAsia" w:ascii="宋体" w:hAnsi="宋体"/>
          <w:sz w:val="24"/>
        </w:rPr>
        <w:t>期</w:t>
      </w:r>
      <w:r>
        <w:rPr>
          <w:rFonts w:hint="eastAsia" w:ascii="宋体" w:hAnsi="宋体" w:eastAsia="宋体"/>
          <w:sz w:val="24"/>
        </w:rPr>
        <w:t>限：合同签订后</w:t>
      </w:r>
      <w:r>
        <w:rPr>
          <w:rFonts w:hint="eastAsia" w:ascii="宋体" w:hAnsi="宋体" w:eastAsia="宋体"/>
          <w:sz w:val="24"/>
          <w:lang w:val="en-US" w:eastAsia="zh-CN"/>
        </w:rPr>
        <w:t>30</w:t>
      </w:r>
      <w:r>
        <w:rPr>
          <w:rFonts w:hint="eastAsia" w:ascii="宋体" w:hAnsi="宋体" w:eastAsia="宋体"/>
          <w:sz w:val="24"/>
        </w:rPr>
        <w:t>天内</w:t>
      </w:r>
    </w:p>
    <w:p>
      <w:pPr>
        <w:numPr>
          <w:ilvl w:val="0"/>
          <w:numId w:val="3"/>
        </w:numPr>
        <w:adjustRightInd w:val="0"/>
        <w:snapToGrid w:val="0"/>
        <w:spacing w:line="360" w:lineRule="auto"/>
        <w:ind w:left="-420" w:leftChars="0" w:firstLine="420" w:firstLineChars="0"/>
        <w:jc w:val="left"/>
        <w:rPr>
          <w:rFonts w:hint="eastAsia" w:ascii="宋体" w:hAnsi="宋体" w:eastAsia="宋体"/>
          <w:sz w:val="24"/>
        </w:rPr>
      </w:pPr>
      <w:r>
        <w:rPr>
          <w:rFonts w:hint="eastAsia" w:ascii="宋体" w:hAnsi="宋体" w:eastAsia="宋体"/>
          <w:sz w:val="24"/>
          <w:lang w:val="en-US" w:eastAsia="zh-CN"/>
        </w:rPr>
        <w:t>品种、品规及数量要求：</w:t>
      </w:r>
    </w:p>
    <w:p>
      <w:pPr>
        <w:numPr>
          <w:ilvl w:val="0"/>
          <w:numId w:val="0"/>
        </w:numPr>
        <w:adjustRightInd w:val="0"/>
        <w:snapToGrid w:val="0"/>
        <w:spacing w:line="360" w:lineRule="auto"/>
        <w:ind w:leftChars="0"/>
        <w:jc w:val="left"/>
        <w:rPr>
          <w:rFonts w:hint="eastAsia" w:ascii="宋体" w:hAnsi="宋体" w:eastAsia="宋体"/>
          <w:sz w:val="24"/>
          <w:lang w:val="en-US" w:eastAsia="zh-CN"/>
        </w:rPr>
      </w:pPr>
      <w:r>
        <w:rPr>
          <w:rFonts w:hint="eastAsia" w:ascii="宋体" w:hAnsi="宋体" w:eastAsia="宋体"/>
          <w:sz w:val="24"/>
          <w:lang w:val="en-US" w:eastAsia="zh-CN"/>
        </w:rPr>
        <w:t>试验组：栀连地黄颗粒：生地黄15g，炒白芍15g，黄连9g，肉桂3g，栀子9g，豆豉9g。</w:t>
      </w:r>
    </w:p>
    <w:p>
      <w:pPr>
        <w:numPr>
          <w:ilvl w:val="0"/>
          <w:numId w:val="0"/>
        </w:numPr>
        <w:adjustRightInd w:val="0"/>
        <w:snapToGrid w:val="0"/>
        <w:spacing w:line="360" w:lineRule="auto"/>
        <w:ind w:leftChars="0"/>
        <w:jc w:val="left"/>
        <w:rPr>
          <w:rFonts w:hint="eastAsia" w:ascii="宋体" w:hAnsi="宋体" w:eastAsia="宋体"/>
          <w:sz w:val="24"/>
          <w:lang w:val="en-US" w:eastAsia="zh-CN"/>
        </w:rPr>
      </w:pPr>
      <w:r>
        <w:rPr>
          <w:rFonts w:hint="eastAsia" w:ascii="宋体" w:hAnsi="宋体" w:eastAsia="宋体"/>
          <w:sz w:val="24"/>
          <w:lang w:val="en-US" w:eastAsia="zh-CN"/>
        </w:rPr>
        <w:t>对照组：栀连地黄颗粒安慰剂：上述药物剂量的1/20做安慰剂。免煎颗粒。</w:t>
      </w:r>
    </w:p>
    <w:p>
      <w:pPr>
        <w:numPr>
          <w:ilvl w:val="0"/>
          <w:numId w:val="0"/>
        </w:numPr>
        <w:adjustRightInd w:val="0"/>
        <w:snapToGrid w:val="0"/>
        <w:spacing w:line="360" w:lineRule="auto"/>
        <w:ind w:leftChars="0"/>
        <w:jc w:val="left"/>
        <w:rPr>
          <w:rFonts w:hint="eastAsia" w:ascii="宋体" w:hAnsi="宋体" w:eastAsia="宋体"/>
          <w:sz w:val="24"/>
          <w:lang w:val="en-US" w:eastAsia="zh-CN"/>
        </w:rPr>
      </w:pPr>
      <w:r>
        <w:rPr>
          <w:rFonts w:hint="eastAsia" w:ascii="宋体" w:hAnsi="宋体" w:eastAsia="宋体"/>
          <w:sz w:val="24"/>
          <w:lang w:val="en-US" w:eastAsia="zh-CN"/>
        </w:rPr>
        <w:t>每组需要1120贴（即2240小包）。</w:t>
      </w:r>
    </w:p>
    <w:p>
      <w:pPr>
        <w:numPr>
          <w:ilvl w:val="0"/>
          <w:numId w:val="3"/>
        </w:numPr>
        <w:adjustRightInd w:val="0"/>
        <w:snapToGrid w:val="0"/>
        <w:spacing w:line="360" w:lineRule="auto"/>
        <w:ind w:left="-420" w:leftChars="0" w:firstLine="420" w:firstLineChars="0"/>
        <w:jc w:val="left"/>
        <w:rPr>
          <w:rFonts w:hint="eastAsia" w:ascii="宋体" w:hAnsi="宋体" w:eastAsia="宋体"/>
          <w:sz w:val="24"/>
          <w:lang w:val="en-US" w:eastAsia="zh-CN"/>
        </w:rPr>
      </w:pPr>
      <w:r>
        <w:rPr>
          <w:rFonts w:hint="eastAsia" w:ascii="宋体" w:hAnsi="宋体" w:eastAsia="宋体"/>
          <w:sz w:val="24"/>
          <w:lang w:val="en-US" w:eastAsia="zh-CN"/>
        </w:rPr>
        <w:t>技术指标要求:</w:t>
      </w:r>
    </w:p>
    <w:p>
      <w:pPr>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eastAsia="宋体"/>
          <w:sz w:val="24"/>
          <w:lang w:val="en-US" w:eastAsia="zh-CN"/>
        </w:rPr>
        <w:t>投标人配方颗</w:t>
      </w:r>
      <w:r>
        <w:rPr>
          <w:rFonts w:hint="eastAsia" w:ascii="宋体" w:hAnsi="宋体"/>
          <w:sz w:val="24"/>
        </w:rPr>
        <w:t>粒覆盖本市二、三级医疗机构数量不少于</w:t>
      </w:r>
      <w:r>
        <w:rPr>
          <w:rFonts w:hint="eastAsia" w:ascii="宋体" w:hAnsi="宋体"/>
          <w:strike w:val="0"/>
          <w:dstrike w:val="0"/>
          <w:color w:val="auto"/>
          <w:sz w:val="24"/>
          <w:lang w:val="en-US" w:eastAsia="zh-CN"/>
        </w:rPr>
        <w:t>3</w:t>
      </w:r>
      <w:r>
        <w:rPr>
          <w:rFonts w:hint="eastAsia" w:ascii="宋体" w:hAnsi="宋体"/>
          <w:sz w:val="24"/>
        </w:rPr>
        <w:t>家。</w:t>
      </w:r>
    </w:p>
    <w:p>
      <w:pPr>
        <w:pStyle w:val="53"/>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sz w:val="24"/>
        </w:rPr>
        <w:t>★</w:t>
      </w:r>
      <w:r>
        <w:rPr>
          <w:rFonts w:hint="eastAsia" w:ascii="宋体" w:hAnsi="宋体"/>
          <w:sz w:val="24"/>
          <w:lang w:val="en-US" w:eastAsia="zh-CN"/>
        </w:rPr>
        <w:t>投标人</w:t>
      </w:r>
      <w:r>
        <w:rPr>
          <w:rFonts w:hint="eastAsia" w:ascii="宋体" w:hAnsi="宋体"/>
          <w:sz w:val="24"/>
        </w:rPr>
        <w:t>对所用中药材进行全品种资源评估并实行完全溯源的体系和证明，投标人需在投标文件中需提供质量保证协议。</w:t>
      </w:r>
    </w:p>
    <w:p>
      <w:pPr>
        <w:pStyle w:val="53"/>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有完善的配方颗粒生产和质量控制管理制度，符合国家管理部门对质量控制的管理规定。</w:t>
      </w:r>
    </w:p>
    <w:p>
      <w:pPr>
        <w:pStyle w:val="53"/>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有完善的中药饮片采购、验收、储藏、养护、领用、处方调配、饮片煎煮等管理制度。</w:t>
      </w:r>
    </w:p>
    <w:p>
      <w:pPr>
        <w:pStyle w:val="53"/>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有明确的各级人员岗位职责和考核办法。</w:t>
      </w:r>
    </w:p>
    <w:p>
      <w:pPr>
        <w:pStyle w:val="53"/>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sz w:val="24"/>
        </w:rPr>
        <w:t>处方严格审方、复核，审方、复核率达到100%。</w:t>
      </w:r>
    </w:p>
    <w:p>
      <w:pPr>
        <w:pStyle w:val="53"/>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经营中药配方颗粒的类型能够满足需求。</w:t>
      </w:r>
    </w:p>
    <w:p>
      <w:pPr>
        <w:pStyle w:val="53"/>
        <w:numPr>
          <w:ilvl w:val="0"/>
          <w:numId w:val="4"/>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能够符合招标人对供货及时性、准确性的要求。</w:t>
      </w:r>
    </w:p>
    <w:p>
      <w:pPr>
        <w:adjustRightInd w:val="0"/>
        <w:snapToGrid w:val="0"/>
        <w:spacing w:line="360" w:lineRule="auto"/>
        <w:jc w:val="left"/>
        <w:rPr>
          <w:rFonts w:hint="default" w:ascii="宋体" w:hAnsi="宋体" w:eastAsia="等线"/>
          <w:sz w:val="24"/>
          <w:lang w:val="en-US" w:eastAsia="zh-CN"/>
        </w:rPr>
      </w:pPr>
      <w:r>
        <w:rPr>
          <w:rFonts w:hint="eastAsia" w:ascii="宋体" w:hAnsi="宋体"/>
          <w:sz w:val="24"/>
          <w:lang w:val="en-US" w:eastAsia="zh-CN"/>
        </w:rPr>
        <w:t>六、</w:t>
      </w:r>
      <w:r>
        <w:rPr>
          <w:rFonts w:hint="eastAsia" w:ascii="宋体" w:hAnsi="宋体"/>
          <w:sz w:val="24"/>
        </w:rPr>
        <w:t>其他要求</w:t>
      </w:r>
      <w:r>
        <w:rPr>
          <w:rFonts w:hint="eastAsia" w:ascii="宋体" w:hAnsi="宋体"/>
          <w:sz w:val="24"/>
          <w:lang w:val="en-US" w:eastAsia="zh-CN"/>
        </w:rPr>
        <w:t>:</w:t>
      </w:r>
    </w:p>
    <w:p>
      <w:pPr>
        <w:numPr>
          <w:ilvl w:val="0"/>
          <w:numId w:val="5"/>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在签订合同时，不得提出附加条件和不合理要求，否则招标人将无条件取消其中标资格。</w:t>
      </w:r>
    </w:p>
    <w:p>
      <w:pPr>
        <w:numPr>
          <w:ilvl w:val="0"/>
          <w:numId w:val="5"/>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责任</w:t>
      </w:r>
    </w:p>
    <w:p>
      <w:pPr>
        <w:numPr>
          <w:ilvl w:val="0"/>
          <w:numId w:val="5"/>
        </w:numPr>
        <w:adjustRightInd w:val="0"/>
        <w:snapToGrid w:val="0"/>
        <w:spacing w:line="360" w:lineRule="auto"/>
        <w:ind w:left="425" w:leftChars="0" w:hanging="425" w:firstLineChars="0"/>
        <w:jc w:val="left"/>
        <w:rPr>
          <w:rFonts w:ascii="宋体" w:hAnsi="宋体"/>
          <w:sz w:val="24"/>
        </w:rPr>
      </w:pPr>
      <w:r>
        <w:rPr>
          <w:rFonts w:hint="eastAsia" w:ascii="宋体" w:hAnsi="宋体"/>
          <w:sz w:val="24"/>
        </w:rPr>
        <w:t>投标人确认已检查所有合同文件的一切有关细节与资料，并确认此类有关的细节与资料在任何情况下不影响项目按合同文件的执行。如果发生任何前述的事宜，投标人不得为免除或减轻其责任，且不得推卸本项目合同文件规定应由其承担的任何责任或义务。</w:t>
      </w:r>
    </w:p>
    <w:p>
      <w:pPr>
        <w:numPr>
          <w:ilvl w:val="0"/>
          <w:numId w:val="5"/>
        </w:numPr>
        <w:adjustRightInd w:val="0"/>
        <w:snapToGrid w:val="0"/>
        <w:spacing w:line="360" w:lineRule="auto"/>
        <w:ind w:left="425" w:leftChars="0" w:hanging="425"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应当按照合同约定履行义务，完成中标项目。投标人不得以任何形式将项目转包给其他单位，如发现转包，招标人有权终止合同，所造成的一切损失均由中标单位承担。投标人应派有经验的技术人员到现场进行服务，其费用由投标人负担。</w:t>
      </w:r>
    </w:p>
    <w:p>
      <w:pPr>
        <w:numPr>
          <w:ilvl w:val="0"/>
          <w:numId w:val="5"/>
        </w:numPr>
        <w:adjustRightInd w:val="0"/>
        <w:snapToGrid w:val="0"/>
        <w:spacing w:line="360" w:lineRule="auto"/>
        <w:ind w:left="425" w:leftChars="0" w:hanging="425" w:firstLineChars="0"/>
        <w:jc w:val="left"/>
        <w:rPr>
          <w:rFonts w:ascii="宋体" w:hAnsi="宋体"/>
          <w:sz w:val="24"/>
        </w:rPr>
      </w:pPr>
      <w:r>
        <w:rPr>
          <w:rFonts w:hint="eastAsia" w:ascii="宋体" w:hAnsi="宋体"/>
          <w:sz w:val="24"/>
        </w:rPr>
        <w:t>投标人应符合药监管理部门的所有有关规定，不仅只包含本招标文件中列明的事宜。</w:t>
      </w:r>
    </w:p>
    <w:p>
      <w:pPr>
        <w:numPr>
          <w:ilvl w:val="0"/>
          <w:numId w:val="5"/>
        </w:numPr>
        <w:adjustRightInd w:val="0"/>
        <w:snapToGrid w:val="0"/>
        <w:spacing w:line="360" w:lineRule="auto"/>
        <w:ind w:left="425" w:leftChars="0" w:hanging="425" w:firstLineChars="0"/>
        <w:jc w:val="left"/>
        <w:rPr>
          <w:rFonts w:ascii="宋体" w:hAnsi="宋体"/>
          <w:sz w:val="24"/>
        </w:rPr>
      </w:pPr>
      <w:r>
        <w:rPr>
          <w:rFonts w:hint="eastAsia" w:ascii="宋体" w:hAnsi="宋体"/>
          <w:sz w:val="24"/>
        </w:rPr>
        <w:t>为保证质量，</w:t>
      </w:r>
      <w:r>
        <w:rPr>
          <w:rFonts w:hint="eastAsia" w:ascii="宋体" w:hAnsi="宋体"/>
          <w:sz w:val="24"/>
          <w:lang w:eastAsia="zh-CN"/>
        </w:rPr>
        <w:t>投标人</w:t>
      </w:r>
      <w:r>
        <w:rPr>
          <w:rFonts w:hint="eastAsia" w:ascii="宋体" w:hAnsi="宋体"/>
          <w:sz w:val="24"/>
        </w:rPr>
        <w:t>提供的产品必须是原厂原包装、全新、环保、正品、合格产品，通过合法渠道获取的。</w:t>
      </w:r>
    </w:p>
    <w:p>
      <w:pPr>
        <w:numPr>
          <w:ilvl w:val="0"/>
          <w:numId w:val="5"/>
        </w:numPr>
        <w:adjustRightInd w:val="0"/>
        <w:snapToGrid w:val="0"/>
        <w:spacing w:line="360" w:lineRule="auto"/>
        <w:ind w:left="425" w:leftChars="0" w:hanging="425" w:firstLineChars="0"/>
        <w:jc w:val="left"/>
        <w:rPr>
          <w:rFonts w:ascii="宋体" w:hAnsi="宋体"/>
          <w:sz w:val="24"/>
        </w:rPr>
      </w:pPr>
      <w:r>
        <w:rPr>
          <w:rFonts w:hint="eastAsia" w:ascii="宋体" w:hAnsi="宋体"/>
          <w:sz w:val="24"/>
        </w:rPr>
        <w:t>投标人须保证招标人在使用该货物或其任何一部分时不受到第三方关于侵犯专利权、商标权或工业设计权等知识产权的指控。如果任何第三方提出侵权指控与招标人无关，投标人须与第三方交涉并承担可能发生的责任与一切费用。</w:t>
      </w:r>
    </w:p>
    <w:p>
      <w:pPr>
        <w:adjustRightInd w:val="0"/>
        <w:snapToGrid w:val="0"/>
        <w:spacing w:line="360" w:lineRule="auto"/>
        <w:jc w:val="left"/>
        <w:rPr>
          <w:rFonts w:ascii="宋体" w:hAnsi="宋体"/>
          <w:sz w:val="24"/>
        </w:rPr>
      </w:pPr>
      <w:r>
        <w:rPr>
          <w:rFonts w:hint="eastAsia" w:ascii="宋体" w:hAnsi="宋体"/>
          <w:sz w:val="24"/>
          <w:lang w:val="en-US" w:eastAsia="zh-CN"/>
        </w:rPr>
        <w:t>七、</w:t>
      </w:r>
      <w:r>
        <w:rPr>
          <w:rFonts w:hint="eastAsia" w:ascii="宋体" w:hAnsi="宋体"/>
          <w:sz w:val="24"/>
        </w:rPr>
        <w:t>报价要求</w:t>
      </w:r>
    </w:p>
    <w:p>
      <w:pPr>
        <w:adjustRightInd w:val="0"/>
        <w:snapToGrid w:val="0"/>
        <w:spacing w:line="360" w:lineRule="auto"/>
        <w:jc w:val="left"/>
        <w:rPr>
          <w:rFonts w:ascii="宋体" w:hAnsi="宋体"/>
          <w:sz w:val="24"/>
        </w:rPr>
      </w:pPr>
      <w:r>
        <w:rPr>
          <w:rFonts w:hint="eastAsia" w:ascii="宋体" w:hAnsi="宋体"/>
          <w:sz w:val="24"/>
        </w:rPr>
        <w:t>★报价包含中药饮片所需外包装材料费、人工费、管理费、配送费、税金等一切费用。</w:t>
      </w:r>
    </w:p>
    <w:p>
      <w:pPr>
        <w:adjustRightInd w:val="0"/>
        <w:snapToGrid w:val="0"/>
        <w:spacing w:line="360" w:lineRule="auto"/>
        <w:jc w:val="left"/>
        <w:rPr>
          <w:rFonts w:ascii="宋体" w:hAnsi="宋体"/>
          <w:sz w:val="24"/>
        </w:rPr>
      </w:pPr>
      <w:r>
        <w:rPr>
          <w:rFonts w:hint="eastAsia" w:ascii="宋体" w:hAnsi="宋体"/>
          <w:sz w:val="24"/>
          <w:lang w:val="en-US" w:eastAsia="zh-CN"/>
        </w:rPr>
        <w:t>八、</w:t>
      </w:r>
      <w:r>
        <w:rPr>
          <w:rFonts w:hint="eastAsia" w:ascii="宋体" w:hAnsi="宋体"/>
          <w:sz w:val="24"/>
        </w:rPr>
        <w:t>项目服务与管理要求</w:t>
      </w:r>
    </w:p>
    <w:p>
      <w:pPr>
        <w:adjustRightInd w:val="0"/>
        <w:snapToGrid w:val="0"/>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 xml:space="preserve">  </w:t>
      </w:r>
      <w:r>
        <w:rPr>
          <w:rFonts w:hint="eastAsia" w:ascii="宋体" w:hAnsi="宋体"/>
          <w:sz w:val="24"/>
        </w:rPr>
        <w:t>本项目投标人中标后应按照本项目招标需求所要求的服务范围、内容及目标要求提供服务。</w:t>
      </w:r>
    </w:p>
    <w:p>
      <w:pPr>
        <w:adjustRightInd w:val="0"/>
        <w:snapToGrid w:val="0"/>
        <w:spacing w:line="360" w:lineRule="auto"/>
        <w:jc w:val="left"/>
        <w:rPr>
          <w:rFonts w:ascii="宋体" w:hAnsi="宋体"/>
          <w:sz w:val="24"/>
        </w:rPr>
      </w:pPr>
      <w:r>
        <w:rPr>
          <w:rFonts w:hint="eastAsia" w:ascii="宋体" w:hAnsi="宋体"/>
          <w:sz w:val="24"/>
        </w:rPr>
        <w:t>2.</w:t>
      </w:r>
      <w:r>
        <w:rPr>
          <w:rFonts w:hint="eastAsia" w:ascii="宋体" w:hAnsi="宋体"/>
          <w:sz w:val="24"/>
          <w:lang w:val="en-US" w:eastAsia="zh-CN"/>
        </w:rPr>
        <w:t xml:space="preserve">  </w:t>
      </w:r>
      <w:r>
        <w:rPr>
          <w:rFonts w:hint="eastAsia" w:ascii="宋体" w:hAnsi="宋体"/>
          <w:sz w:val="24"/>
        </w:rPr>
        <w:t>服务管理</w:t>
      </w:r>
    </w:p>
    <w:p>
      <w:pPr>
        <w:adjustRightInd w:val="0"/>
        <w:snapToGrid w:val="0"/>
        <w:spacing w:line="360" w:lineRule="auto"/>
        <w:jc w:val="left"/>
        <w:rPr>
          <w:rFonts w:ascii="宋体" w:hAnsi="宋体"/>
          <w:sz w:val="24"/>
        </w:rPr>
      </w:pPr>
      <w:r>
        <w:rPr>
          <w:rFonts w:hint="eastAsia" w:ascii="宋体" w:hAnsi="宋体"/>
          <w:sz w:val="24"/>
        </w:rPr>
        <w:t>2.1 在项目服务实施期间，投标人应严格执行国家、地方、行业各项有关本项目业务管理和安全作业的法律、法规和制度，积极主动加强和服务业务及安全等有关的管理工作，并按规定承担相应的费用。投标人因违反规定等原因造成的一切损失和责任由投标人承担。</w:t>
      </w:r>
    </w:p>
    <w:p>
      <w:pPr>
        <w:adjustRightInd w:val="0"/>
        <w:snapToGrid w:val="0"/>
        <w:spacing w:line="360" w:lineRule="auto"/>
        <w:jc w:val="left"/>
        <w:rPr>
          <w:rFonts w:ascii="宋体" w:hAnsi="宋体"/>
          <w:sz w:val="24"/>
        </w:rPr>
      </w:pPr>
      <w:r>
        <w:rPr>
          <w:rFonts w:hint="eastAsia" w:ascii="宋体" w:hAnsi="宋体"/>
          <w:sz w:val="24"/>
        </w:rPr>
        <w:t>2.2 项目负责人应为投标人在职人员，具有类似本项目的服务管理经验，项目组人员的数量应足够满足本项目服务需要，具有良好的职业道德和严谨的工作作风。</w:t>
      </w:r>
    </w:p>
    <w:p>
      <w:pPr>
        <w:adjustRightInd w:val="0"/>
        <w:snapToGrid w:val="0"/>
        <w:spacing w:line="360" w:lineRule="auto"/>
        <w:jc w:val="left"/>
        <w:rPr>
          <w:rFonts w:ascii="宋体" w:hAnsi="宋体"/>
          <w:sz w:val="24"/>
        </w:rPr>
      </w:pPr>
      <w:r>
        <w:rPr>
          <w:rFonts w:hint="eastAsia" w:ascii="宋体" w:hAnsi="宋体"/>
          <w:sz w:val="24"/>
        </w:rPr>
        <w:t>2.3 投标人在组织项目服务实施期间，应按招标人实际服务需求落实所对应提供的服务工作，投标人在项目服务实施期间应做好相关管理记录，保证满足招标人服务需求。</w:t>
      </w:r>
    </w:p>
    <w:p>
      <w:pPr>
        <w:adjustRightInd w:val="0"/>
        <w:snapToGrid w:val="0"/>
        <w:spacing w:line="360" w:lineRule="auto"/>
        <w:jc w:val="left"/>
        <w:rPr>
          <w:rFonts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 xml:space="preserve"> 各投标人在投标文件中要结合本项目的特点和招标人上述的具体要求制定相应的服务管理措施，同时应适当考虑购买自己员工和第三方责任保险。</w:t>
      </w:r>
    </w:p>
    <w:p>
      <w:pPr>
        <w:adjustRightInd w:val="0"/>
        <w:snapToGrid w:val="0"/>
        <w:spacing w:line="360" w:lineRule="auto"/>
        <w:jc w:val="left"/>
        <w:rPr>
          <w:rFonts w:ascii="宋体" w:hAnsi="宋体"/>
          <w:sz w:val="24"/>
        </w:rPr>
      </w:pPr>
      <w:r>
        <w:rPr>
          <w:rFonts w:hint="eastAsia" w:ascii="宋体" w:hAnsi="宋体"/>
          <w:sz w:val="24"/>
        </w:rPr>
        <w:t>（五）服务标准与验收要求</w:t>
      </w:r>
    </w:p>
    <w:p>
      <w:pPr>
        <w:adjustRightInd w:val="0"/>
        <w:snapToGrid w:val="0"/>
        <w:spacing w:line="360" w:lineRule="auto"/>
        <w:jc w:val="left"/>
        <w:rPr>
          <w:rFonts w:ascii="宋体" w:hAnsi="宋体"/>
          <w:sz w:val="24"/>
        </w:rPr>
      </w:pPr>
      <w:r>
        <w:rPr>
          <w:rFonts w:hint="eastAsia" w:ascii="宋体" w:hAnsi="宋体"/>
          <w:sz w:val="24"/>
        </w:rPr>
        <w:t xml:space="preserve">1. </w:t>
      </w:r>
      <w:r>
        <w:rPr>
          <w:rFonts w:hint="eastAsia" w:ascii="宋体" w:hAnsi="宋体"/>
          <w:sz w:val="24"/>
          <w:lang w:val="en-US" w:eastAsia="zh-CN"/>
        </w:rPr>
        <w:t xml:space="preserve"> </w:t>
      </w:r>
      <w:r>
        <w:rPr>
          <w:rFonts w:hint="eastAsia" w:ascii="宋体" w:hAnsi="宋体"/>
          <w:sz w:val="24"/>
        </w:rPr>
        <w:t>投标人提供的货物及服务应符合国家、地方及相关政府管理部门和行业与本项目有关的各项服务标准、规范、规章要求，并满足招标人实际需求，标准、规范等不一致的，以要求高的为准。</w:t>
      </w:r>
    </w:p>
    <w:p>
      <w:pPr>
        <w:adjustRightInd w:val="0"/>
        <w:snapToGrid w:val="0"/>
        <w:spacing w:line="360" w:lineRule="auto"/>
        <w:jc w:val="left"/>
        <w:rPr>
          <w:rFonts w:ascii="宋体" w:hAnsi="宋体"/>
          <w:sz w:val="24"/>
        </w:rPr>
      </w:pPr>
      <w:r>
        <w:rPr>
          <w:rFonts w:hint="eastAsia" w:ascii="宋体" w:hAnsi="宋体"/>
          <w:sz w:val="24"/>
        </w:rPr>
        <w:t xml:space="preserve">2. </w:t>
      </w:r>
      <w:r>
        <w:rPr>
          <w:rFonts w:hint="eastAsia" w:ascii="宋体" w:hAnsi="宋体"/>
          <w:sz w:val="24"/>
          <w:lang w:val="en-US" w:eastAsia="zh-CN"/>
        </w:rPr>
        <w:t xml:space="preserve"> </w:t>
      </w:r>
      <w:r>
        <w:rPr>
          <w:rFonts w:hint="eastAsia" w:ascii="宋体" w:hAnsi="宋体"/>
          <w:sz w:val="24"/>
        </w:rPr>
        <w:t>本项目验收将由招标人进行。</w:t>
      </w:r>
    </w:p>
    <w:p>
      <w:pPr>
        <w:adjustRightInd w:val="0"/>
        <w:snapToGrid w:val="0"/>
        <w:spacing w:line="360" w:lineRule="auto"/>
        <w:jc w:val="left"/>
        <w:rPr>
          <w:rFonts w:ascii="宋体" w:hAnsi="宋体"/>
          <w:sz w:val="24"/>
        </w:rPr>
      </w:pPr>
      <w:r>
        <w:rPr>
          <w:rFonts w:hint="eastAsia" w:ascii="宋体" w:hAnsi="宋体"/>
          <w:sz w:val="24"/>
        </w:rPr>
        <w:t xml:space="preserve">3. </w:t>
      </w:r>
      <w:r>
        <w:rPr>
          <w:rFonts w:hint="eastAsia" w:ascii="宋体" w:hAnsi="宋体"/>
          <w:sz w:val="24"/>
          <w:lang w:val="en-US" w:eastAsia="zh-CN"/>
        </w:rPr>
        <w:t xml:space="preserve"> </w:t>
      </w:r>
      <w:r>
        <w:rPr>
          <w:rFonts w:hint="eastAsia" w:ascii="宋体" w:hAnsi="宋体"/>
          <w:sz w:val="24"/>
        </w:rPr>
        <w:t>合作期内，招标人对投标人进行不定期飞行检查，评估内容主要包括但不限于：提供配方颗粒的质量、提供供应服务的效率等指标。</w:t>
      </w: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Times New Roman" w:hAnsi="Times New Roman" w:eastAsia="宋体" w:cs="Times New Roman"/>
          <w:b/>
          <w:sz w:val="40"/>
          <w:szCs w:val="40"/>
          <w:highlight w:val="none"/>
          <w:lang w:val="en-US" w:eastAsia="zh-CN"/>
        </w:rPr>
        <w:t>临床试验用药（颗粒剂）</w:t>
      </w:r>
    </w:p>
    <w:p>
      <w:pPr>
        <w:jc w:val="center"/>
        <w:rPr>
          <w:rFonts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7748049"/>
      <w:bookmarkStart w:id="16" w:name="_Toc392227906"/>
      <w:bookmarkStart w:id="17" w:name="_Toc458971242"/>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7039"/>
      <w:bookmarkStart w:id="19" w:name="_Toc352691655"/>
      <w:bookmarkStart w:id="20" w:name="_Toc369531691"/>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369531692"/>
      <w:bookmarkStart w:id="22" w:name="_Toc6931"/>
      <w:bookmarkStart w:id="23" w:name="_Toc352691656"/>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Times New Roman" w:hAnsi="Times New Roman" w:eastAsia="宋体" w:cs="Times New Roman"/>
          <w:szCs w:val="21"/>
          <w:highlight w:val="none"/>
          <w:u w:val="single"/>
          <w:lang w:val="en-US" w:eastAsia="zh-CN"/>
        </w:rPr>
        <w:t>临床试验用药（颗粒剂）</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369531694"/>
      <w:bookmarkStart w:id="25" w:name="_Toc1187"/>
      <w:bookmarkStart w:id="26" w:name="_Toc352691658"/>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352691659"/>
      <w:bookmarkStart w:id="28" w:name="_Toc16568"/>
      <w:bookmarkStart w:id="29" w:name="_Toc369531695"/>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369531696"/>
      <w:bookmarkStart w:id="31" w:name="_Toc16824"/>
      <w:bookmarkStart w:id="32" w:name="_Toc352691660"/>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300835209"/>
      <w:bookmarkStart w:id="34" w:name="_Toc152045787"/>
      <w:bookmarkStart w:id="35" w:name="_Toc247514246"/>
      <w:bookmarkStart w:id="36" w:name="_Toc17960"/>
      <w:bookmarkStart w:id="37" w:name="_Toc352691661"/>
      <w:bookmarkStart w:id="38" w:name="_Toc247527827"/>
      <w:bookmarkStart w:id="39" w:name="_Toc384308375"/>
      <w:bookmarkStart w:id="40" w:name="_Toc144974856"/>
      <w:bookmarkStart w:id="41" w:name="_Toc361508752"/>
      <w:bookmarkStart w:id="42" w:name="_Toc369531697"/>
      <w:bookmarkStart w:id="43" w:name="_Toc152042576"/>
      <w:r>
        <w:rPr>
          <w:rFonts w:hint="eastAsia" w:ascii="宋体" w:hAnsi="宋体" w:eastAsia="宋体" w:cs="Times New Roman"/>
          <w:b/>
          <w:sz w:val="24"/>
          <w:szCs w:val="24"/>
          <w:highlight w:val="none"/>
        </w:rPr>
        <w:br w:type="page"/>
      </w:r>
      <w:bookmarkStart w:id="44" w:name="_Toc458971245"/>
      <w:bookmarkStart w:id="45" w:name="_Toc392227908"/>
      <w:bookmarkStart w:id="46" w:name="_Toc457748054"/>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OLE_LINK1"/>
      <w:bookmarkStart w:id="49" w:name="_Toc458971246"/>
      <w:bookmarkStart w:id="50" w:name="OLE_LINK2"/>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Times New Roman" w:hAnsi="Times New Roman" w:eastAsia="宋体" w:cs="Times New Roman"/>
          <w:szCs w:val="21"/>
          <w:highlight w:val="none"/>
          <w:u w:val="single"/>
          <w:lang w:val="en-US" w:eastAsia="zh-CN"/>
        </w:rPr>
        <w:t>临床试验用药（颗粒剂）</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Times New Roman" w:hAnsi="Times New Roman" w:eastAsia="宋体" w:cs="Times New Roman"/>
                <w:szCs w:val="21"/>
                <w:highlight w:val="none"/>
                <w:u w:val="none"/>
                <w:lang w:val="en-US" w:eastAsia="zh-CN"/>
              </w:rPr>
              <w:t>临床试验用药（颗粒剂）</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392227913"/>
      <w:bookmarkStart w:id="52" w:name="_Toc457748057"/>
      <w:bookmarkStart w:id="53" w:name="_Toc458971250"/>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8971251"/>
      <w:bookmarkStart w:id="55" w:name="_Toc457748058"/>
      <w:bookmarkStart w:id="56" w:name="_Toc392227915"/>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457748059"/>
      <w:bookmarkStart w:id="58" w:name="_Toc392227916"/>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6"/>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6"/>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6"/>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AAD2"/>
    <w:multiLevelType w:val="singleLevel"/>
    <w:tmpl w:val="E560AAD2"/>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4"/>
      <w:numFmt w:val="chineseCounting"/>
      <w:suff w:val="space"/>
      <w:lvlText w:val="第%1章"/>
      <w:lvlJc w:val="left"/>
      <w:rPr>
        <w:rFonts w:hint="eastAsia"/>
      </w:rPr>
    </w:lvl>
  </w:abstractNum>
  <w:abstractNum w:abstractNumId="2">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5">
    <w:nsid w:val="1637F5CF"/>
    <w:multiLevelType w:val="singleLevel"/>
    <w:tmpl w:val="1637F5CF"/>
    <w:lvl w:ilvl="0" w:tentative="0">
      <w:start w:val="1"/>
      <w:numFmt w:val="decimal"/>
      <w:lvlText w:val="%1."/>
      <w:lvlJc w:val="left"/>
      <w:pPr>
        <w:ind w:left="425" w:hanging="425"/>
      </w:pPr>
      <w:rPr>
        <w:rFonts w:hint="default"/>
      </w:rPr>
    </w:lvl>
  </w:abstractNum>
  <w:abstractNum w:abstractNumId="6">
    <w:nsid w:val="2AFE370A"/>
    <w:multiLevelType w:val="singleLevel"/>
    <w:tmpl w:val="2AFE370A"/>
    <w:lvl w:ilvl="0" w:tentative="0">
      <w:start w:val="1"/>
      <w:numFmt w:val="chineseCounting"/>
      <w:suff w:val="nothing"/>
      <w:lvlText w:val="%1、"/>
      <w:lvlJc w:val="left"/>
      <w:pPr>
        <w:ind w:left="-420" w:firstLine="420"/>
      </w:pPr>
      <w:rPr>
        <w:rFonts w:hint="eastAsia"/>
      </w:r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wZWVhNGNiN2Q0NGQxYTM5NDI5ZjE1NmI5N2I5NGYifQ=="/>
  </w:docVars>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1F0E10C7"/>
    <w:rsid w:val="347F7B2F"/>
    <w:rsid w:val="3A3018EF"/>
    <w:rsid w:val="4866307B"/>
    <w:rsid w:val="4B1D662A"/>
    <w:rsid w:val="598071D3"/>
    <w:rsid w:val="5B847E26"/>
    <w:rsid w:val="6F0108ED"/>
    <w:rsid w:val="6F0A1AA0"/>
    <w:rsid w:val="71ED17A2"/>
    <w:rsid w:val="74277B5D"/>
    <w:rsid w:val="74E65469"/>
    <w:rsid w:val="77677D05"/>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6012</Words>
  <Characters>6505</Characters>
  <Lines>53</Lines>
  <Paragraphs>15</Paragraphs>
  <TotalTime>5</TotalTime>
  <ScaleCrop>false</ScaleCrop>
  <LinksUpToDate>false</LinksUpToDate>
  <CharactersWithSpaces>7629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2025-02-12T05:07:13Z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