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420" w:firstLineChars="0"/>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碱性磷酸酶检测等试剂项目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09</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包件一:碱性磷酸酶检测</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包件二:乳糖不耐受检测</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碱性磷酸酶检测等试剂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碱性磷酸酶检测等试剂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08</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5" w:name="_Toc11326096"/>
      <w:r>
        <w:rPr>
          <w:rFonts w:hint="eastAsia" w:ascii="宋体" w:hAnsi="宋体" w:eastAsia="宋体" w:cs="宋体"/>
          <w:b/>
          <w:bCs/>
          <w:sz w:val="24"/>
          <w:szCs w:val="24"/>
          <w:highlight w:val="none"/>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碱性磷酸酶检测</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用途：</w:t>
      </w:r>
      <w:r>
        <w:rPr>
          <w:rFonts w:hint="eastAsia" w:ascii="宋体" w:hAnsi="宋体" w:eastAsia="宋体" w:cs="宋体"/>
          <w:b w:val="0"/>
          <w:bCs w:val="0"/>
          <w:sz w:val="24"/>
          <w:szCs w:val="24"/>
          <w:lang w:val="en-US" w:eastAsia="zh-CN"/>
        </w:rPr>
        <w:t>判断样本中碱性磷酸酶的活性高低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样本类型：血清或粪便</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精密度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批内：水平1：1.1%-1.5%；水平2：0.8%-1.2%；水平3：0.7%-1.1%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室内：水平1：1.2%-1.6%；水平2：1.0%-1.4%；水平3：0.9%-1.3%</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分析灵敏度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LOD: 0.03mmol/L-0.08mmol/L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LOQ: 0.12mmol/L-0.18mmol/L</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线性范围：0.12-44.4mmol/L</w:t>
      </w:r>
    </w:p>
    <w:p>
      <w:pPr>
        <w:pStyle w:val="54"/>
        <w:widowControl w:val="0"/>
        <w:numPr>
          <w:ilvl w:val="0"/>
          <w:numId w:val="5"/>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保存条件：</w:t>
      </w:r>
      <w:r>
        <w:rPr>
          <w:rFonts w:hint="eastAsia" w:ascii="宋体" w:hAnsi="宋体" w:eastAsia="宋体" w:cs="宋体"/>
          <w:sz w:val="24"/>
          <w:szCs w:val="24"/>
          <w:lang w:val="en-US" w:eastAsia="zh-CN"/>
        </w:rPr>
        <w:t>避光干燥条件下，2～30℃保存</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有效期 ：10个月以上</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pStyle w:val="54"/>
        <w:numPr>
          <w:ilvl w:val="0"/>
          <w:numId w:val="0"/>
        </w:numPr>
        <w:spacing w:line="360" w:lineRule="auto"/>
        <w:ind w:leftChars="0"/>
        <w:rPr>
          <w:rFonts w:hint="eastAsia" w:ascii="宋体" w:hAnsi="宋体" w:eastAsia="宋体"/>
          <w:b w:val="0"/>
          <w:bCs w:val="0"/>
          <w:sz w:val="24"/>
          <w:szCs w:val="24"/>
          <w:lang w:val="en-US" w:eastAsia="zh-CN"/>
        </w:rPr>
      </w:pP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Times New Roman"/>
          <w:sz w:val="24"/>
          <w:szCs w:val="24"/>
          <w:lang w:val="en-US" w:eastAsia="zh-CN"/>
        </w:rPr>
        <w:t>乳糖不耐受检测</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用途：判断样本中乳糖的浓度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样本类型：尿液或粪便</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精密度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批内：水平1：1.1%-1.5%；水平2：0.8%-1.2%；水平3：0.7%-1.1%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室内：水平1：1.2%-1.6%；水平2：1.0%-1.4%；水平3：0.9%-1.3%</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分析灵敏度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LOD: 0.03mmol/L-0.08mmol/L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LOQ: 0.12mmol/L-0.18mmol/L</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线性范围：0.12-44.4mmol/L</w:t>
      </w:r>
    </w:p>
    <w:p>
      <w:pPr>
        <w:pStyle w:val="54"/>
        <w:widowControl w:val="0"/>
        <w:numPr>
          <w:ilvl w:val="0"/>
          <w:numId w:val="7"/>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保存条件：</w:t>
      </w:r>
      <w:r>
        <w:rPr>
          <w:rFonts w:hint="eastAsia" w:ascii="宋体" w:hAnsi="宋体" w:eastAsia="宋体" w:cs="宋体"/>
          <w:sz w:val="24"/>
          <w:szCs w:val="24"/>
          <w:lang w:val="en-US" w:eastAsia="zh-CN"/>
        </w:rPr>
        <w:t>避光干燥条件下，2～30℃保存</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有效期 ：10个月以上</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7A843"/>
    <w:multiLevelType w:val="singleLevel"/>
    <w:tmpl w:val="94A7A843"/>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4">
    <w:nsid w:val="CD42E90B"/>
    <w:multiLevelType w:val="singleLevel"/>
    <w:tmpl w:val="CD42E90B"/>
    <w:lvl w:ilvl="0" w:tentative="0">
      <w:start w:val="2"/>
      <w:numFmt w:val="decimal"/>
      <w:suff w:val="nothing"/>
      <w:lvlText w:val="（%1）"/>
      <w:lvlJc w:val="left"/>
    </w:lvl>
  </w:abstractNum>
  <w:abstractNum w:abstractNumId="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92C2503"/>
    <w:multiLevelType w:val="singleLevel"/>
    <w:tmpl w:val="692C2503"/>
    <w:lvl w:ilvl="0" w:tentative="0">
      <w:start w:val="1"/>
      <w:numFmt w:val="decimal"/>
      <w:lvlText w:val="%1."/>
      <w:lvlJc w:val="left"/>
      <w:pPr>
        <w:ind w:left="425" w:hanging="425"/>
      </w:pPr>
      <w:rPr>
        <w:rFonts w:hint="default"/>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9C0D9D"/>
    <w:rsid w:val="13E44EDE"/>
    <w:rsid w:val="184B051B"/>
    <w:rsid w:val="19530D66"/>
    <w:rsid w:val="19BC5BE6"/>
    <w:rsid w:val="19DC576F"/>
    <w:rsid w:val="1A355C22"/>
    <w:rsid w:val="1A5F06D7"/>
    <w:rsid w:val="1B09545F"/>
    <w:rsid w:val="1C7C757C"/>
    <w:rsid w:val="1DBB4EF2"/>
    <w:rsid w:val="1DBC650F"/>
    <w:rsid w:val="1E4F1A12"/>
    <w:rsid w:val="206F557C"/>
    <w:rsid w:val="21CA6472"/>
    <w:rsid w:val="22AA393E"/>
    <w:rsid w:val="23276141"/>
    <w:rsid w:val="24161FB7"/>
    <w:rsid w:val="2458229A"/>
    <w:rsid w:val="2464469F"/>
    <w:rsid w:val="24C25007"/>
    <w:rsid w:val="25043F40"/>
    <w:rsid w:val="255254E6"/>
    <w:rsid w:val="25ED784B"/>
    <w:rsid w:val="25F11009"/>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643684"/>
    <w:rsid w:val="54BD39A2"/>
    <w:rsid w:val="56E97E3E"/>
    <w:rsid w:val="584607A3"/>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8F11E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6553</Words>
  <Characters>7302</Characters>
  <Lines>12</Lines>
  <Paragraphs>17</Paragraphs>
  <TotalTime>13</TotalTime>
  <ScaleCrop>false</ScaleCrop>
  <LinksUpToDate>false</LinksUpToDate>
  <CharactersWithSpaces>7414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2024-09-20T06:17:15Z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ies>
</file>