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6E3EB">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14:paraId="207CDCA0">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14:paraId="14170B86">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14:paraId="75B82087">
      <w:pPr>
        <w:tabs>
          <w:tab w:val="left" w:pos="3150"/>
        </w:tabs>
        <w:spacing w:line="360" w:lineRule="auto"/>
        <w:jc w:val="center"/>
        <w:rPr>
          <w:rFonts w:ascii="宋体" w:hAnsi="宋体" w:eastAsia="宋体" w:cs="Times New Roman"/>
          <w:b/>
          <w:sz w:val="32"/>
          <w:szCs w:val="20"/>
        </w:rPr>
      </w:pPr>
    </w:p>
    <w:p w14:paraId="2309A9B8">
      <w:pPr>
        <w:tabs>
          <w:tab w:val="left" w:pos="3150"/>
        </w:tabs>
        <w:spacing w:line="360" w:lineRule="auto"/>
        <w:jc w:val="center"/>
        <w:rPr>
          <w:rFonts w:ascii="宋体" w:hAnsi="宋体" w:eastAsia="宋体" w:cs="Times New Roman"/>
          <w:b/>
          <w:sz w:val="32"/>
          <w:szCs w:val="20"/>
        </w:rPr>
      </w:pPr>
    </w:p>
    <w:p w14:paraId="781F49CB">
      <w:pPr>
        <w:tabs>
          <w:tab w:val="left" w:pos="3150"/>
        </w:tabs>
        <w:spacing w:line="360" w:lineRule="auto"/>
        <w:jc w:val="center"/>
        <w:rPr>
          <w:rFonts w:ascii="宋体" w:hAnsi="宋体" w:eastAsia="宋体" w:cs="Times New Roman"/>
          <w:b/>
          <w:sz w:val="32"/>
          <w:szCs w:val="20"/>
        </w:rPr>
      </w:pPr>
    </w:p>
    <w:p w14:paraId="2E186D49">
      <w:pPr>
        <w:tabs>
          <w:tab w:val="left" w:pos="3150"/>
        </w:tabs>
        <w:spacing w:line="360" w:lineRule="auto"/>
        <w:jc w:val="center"/>
        <w:rPr>
          <w:rFonts w:ascii="宋体" w:hAnsi="宋体" w:eastAsia="宋体" w:cs="Times New Roman"/>
          <w:b/>
          <w:sz w:val="32"/>
          <w:szCs w:val="20"/>
        </w:rPr>
      </w:pPr>
    </w:p>
    <w:p w14:paraId="50C8E417">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叶酸受体细胞检测等试剂项目</w:t>
      </w:r>
    </w:p>
    <w:p w14:paraId="6CFC99AB">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14:paraId="55C4708D">
      <w:pPr>
        <w:tabs>
          <w:tab w:val="left" w:pos="2730"/>
        </w:tabs>
        <w:spacing w:line="360" w:lineRule="auto"/>
        <w:ind w:left="723" w:hanging="720" w:hangingChars="200"/>
        <w:jc w:val="center"/>
        <w:rPr>
          <w:rFonts w:ascii="宋体" w:hAnsi="宋体" w:eastAsia="宋体" w:cs="Times New Roman"/>
          <w:b/>
          <w:sz w:val="36"/>
          <w:szCs w:val="36"/>
        </w:rPr>
      </w:pPr>
    </w:p>
    <w:p w14:paraId="0EC0FB17">
      <w:pPr>
        <w:tabs>
          <w:tab w:val="left" w:pos="2730"/>
        </w:tabs>
        <w:spacing w:line="360" w:lineRule="auto"/>
        <w:ind w:left="723" w:hanging="720" w:hangingChars="200"/>
        <w:jc w:val="center"/>
        <w:rPr>
          <w:rFonts w:ascii="宋体" w:hAnsi="宋体" w:eastAsia="宋体" w:cs="Times New Roman"/>
          <w:b/>
          <w:sz w:val="36"/>
          <w:szCs w:val="36"/>
        </w:rPr>
      </w:pPr>
    </w:p>
    <w:p w14:paraId="77945E65">
      <w:pPr>
        <w:tabs>
          <w:tab w:val="left" w:pos="2730"/>
        </w:tabs>
        <w:spacing w:line="360" w:lineRule="auto"/>
        <w:ind w:left="723" w:hanging="720" w:hangingChars="200"/>
        <w:jc w:val="center"/>
        <w:rPr>
          <w:rFonts w:ascii="宋体" w:hAnsi="宋体" w:eastAsia="宋体" w:cs="Times New Roman"/>
          <w:b/>
          <w:sz w:val="36"/>
          <w:szCs w:val="36"/>
        </w:rPr>
      </w:pPr>
    </w:p>
    <w:p w14:paraId="3F5E2A62">
      <w:pPr>
        <w:tabs>
          <w:tab w:val="left" w:pos="2730"/>
        </w:tabs>
        <w:spacing w:line="360" w:lineRule="auto"/>
        <w:ind w:left="723" w:hanging="720" w:hangingChars="200"/>
        <w:jc w:val="center"/>
        <w:rPr>
          <w:rFonts w:ascii="宋体" w:hAnsi="宋体" w:eastAsia="宋体" w:cs="Times New Roman"/>
          <w:b/>
          <w:sz w:val="36"/>
          <w:szCs w:val="36"/>
        </w:rPr>
      </w:pPr>
    </w:p>
    <w:p w14:paraId="4CBF1A0F">
      <w:pPr>
        <w:tabs>
          <w:tab w:val="left" w:pos="2730"/>
        </w:tabs>
        <w:spacing w:line="360" w:lineRule="auto"/>
        <w:ind w:left="723" w:hanging="720" w:hangingChars="200"/>
        <w:jc w:val="center"/>
        <w:rPr>
          <w:rFonts w:ascii="宋体" w:hAnsi="宋体" w:eastAsia="宋体" w:cs="Times New Roman"/>
          <w:b/>
          <w:sz w:val="36"/>
          <w:szCs w:val="36"/>
        </w:rPr>
      </w:pPr>
    </w:p>
    <w:p w14:paraId="5B9B6C65">
      <w:pPr>
        <w:tabs>
          <w:tab w:val="left" w:pos="2730"/>
        </w:tabs>
        <w:spacing w:line="360" w:lineRule="auto"/>
        <w:ind w:left="723" w:hanging="720" w:hangingChars="200"/>
        <w:jc w:val="center"/>
        <w:rPr>
          <w:rFonts w:ascii="宋体" w:hAnsi="宋体" w:eastAsia="宋体" w:cs="Times New Roman"/>
          <w:b/>
          <w:sz w:val="36"/>
          <w:szCs w:val="36"/>
        </w:rPr>
      </w:pPr>
    </w:p>
    <w:p w14:paraId="5EB943EE">
      <w:pPr>
        <w:tabs>
          <w:tab w:val="left" w:pos="2730"/>
        </w:tabs>
        <w:spacing w:line="360" w:lineRule="auto"/>
        <w:ind w:left="723" w:hanging="720" w:hangingChars="200"/>
        <w:jc w:val="center"/>
        <w:rPr>
          <w:rFonts w:ascii="宋体" w:hAnsi="宋体" w:eastAsia="宋体" w:cs="Times New Roman"/>
          <w:b/>
          <w:sz w:val="36"/>
          <w:szCs w:val="36"/>
        </w:rPr>
      </w:pPr>
    </w:p>
    <w:p w14:paraId="666E3E71">
      <w:pPr>
        <w:tabs>
          <w:tab w:val="left" w:pos="2730"/>
        </w:tabs>
        <w:spacing w:line="360" w:lineRule="auto"/>
        <w:ind w:left="723" w:hanging="720" w:hangingChars="200"/>
        <w:jc w:val="center"/>
        <w:rPr>
          <w:rFonts w:ascii="宋体" w:hAnsi="宋体" w:eastAsia="宋体" w:cs="Times New Roman"/>
          <w:b/>
          <w:sz w:val="36"/>
          <w:szCs w:val="36"/>
        </w:rPr>
      </w:pPr>
    </w:p>
    <w:p w14:paraId="76C9C8EF">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日</w:t>
      </w:r>
    </w:p>
    <w:p w14:paraId="25986FFB">
      <w:pPr>
        <w:pageBreakBefore/>
        <w:tabs>
          <w:tab w:val="left" w:pos="2730"/>
        </w:tabs>
        <w:spacing w:line="360" w:lineRule="auto"/>
        <w:ind w:left="964" w:hanging="960" w:hangingChars="200"/>
        <w:jc w:val="center"/>
        <w:rPr>
          <w:rFonts w:ascii="宋体" w:hAnsi="宋体" w:eastAsia="宋体" w:cs="Times New Roman"/>
          <w:b/>
          <w:bCs/>
          <w:sz w:val="48"/>
          <w:szCs w:val="20"/>
        </w:rPr>
      </w:pPr>
    </w:p>
    <w:p w14:paraId="0E776C5D">
      <w:pPr>
        <w:spacing w:line="360" w:lineRule="auto"/>
        <w:ind w:left="964" w:hanging="960" w:hangingChars="200"/>
        <w:jc w:val="center"/>
        <w:rPr>
          <w:rFonts w:ascii="宋体" w:hAnsi="宋体" w:eastAsia="宋体" w:cs="Times New Roman"/>
          <w:b/>
          <w:bCs/>
          <w:sz w:val="48"/>
          <w:szCs w:val="20"/>
        </w:rPr>
      </w:pPr>
    </w:p>
    <w:p w14:paraId="044779F6">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14:paraId="4175DD21">
      <w:pPr>
        <w:spacing w:line="360" w:lineRule="auto"/>
        <w:ind w:left="199" w:hanging="198" w:hangingChars="55"/>
        <w:rPr>
          <w:rFonts w:ascii="宋体" w:hAnsi="宋体" w:eastAsia="宋体" w:cs="Times New Roman"/>
          <w:b/>
          <w:bCs/>
          <w:sz w:val="36"/>
          <w:szCs w:val="20"/>
        </w:rPr>
      </w:pPr>
    </w:p>
    <w:p w14:paraId="5FEE9D83">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14:paraId="443604D2">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14:paraId="0ECC8776">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14:paraId="4F4F3D34">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14:paraId="17F475AE">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8</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14:paraId="23DE9237">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14:paraId="08D55F08">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14:paraId="074F7CAD">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14:paraId="085875E3">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14:paraId="1083BA3C">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14:paraId="1337F245">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w:t>
      </w:r>
      <w:r>
        <w:rPr>
          <w:rFonts w:hint="eastAsia" w:ascii="宋体" w:hAnsi="宋体" w:eastAsia="宋体" w:cs="宋体"/>
          <w:sz w:val="24"/>
          <w:szCs w:val="24"/>
        </w:rPr>
        <w:t>叶酸受体细胞检测</w:t>
      </w:r>
    </w:p>
    <w:p w14:paraId="033D27B3">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包件二:</w:t>
      </w:r>
      <w:r>
        <w:rPr>
          <w:rFonts w:hint="eastAsia" w:ascii="宋体" w:hAnsi="宋体" w:eastAsia="宋体" w:cs="宋体"/>
          <w:sz w:val="24"/>
          <w:szCs w:val="24"/>
          <w:lang w:val="en-US" w:eastAsia="zh-CN"/>
        </w:rPr>
        <w:t>Septin9基因甲基化检测</w:t>
      </w:r>
    </w:p>
    <w:p w14:paraId="5DAF4E1C">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包件三:</w:t>
      </w:r>
      <w:r>
        <w:rPr>
          <w:rFonts w:hint="eastAsia" w:ascii="宋体" w:hAnsi="宋体" w:eastAsia="宋体" w:cs="宋体"/>
          <w:sz w:val="24"/>
          <w:szCs w:val="24"/>
          <w:lang w:val="en-US" w:eastAsia="zh-CN"/>
        </w:rPr>
        <w:t>7种微小核糖核酸(microRNA)检测</w:t>
      </w:r>
    </w:p>
    <w:p w14:paraId="3758FE0D">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包件四:乙型肝炎病毒基因YMDD突变测定</w:t>
      </w:r>
    </w:p>
    <w:p w14:paraId="0EEF954F">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包件五:HBV-pgRNA测定</w:t>
      </w:r>
    </w:p>
    <w:p w14:paraId="4D0DA9EB">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包件六:血清胰高血糖素测定</w:t>
      </w:r>
    </w:p>
    <w:p w14:paraId="02575862">
      <w:pPr>
        <w:autoSpaceDE w:val="0"/>
        <w:autoSpaceDN w:val="0"/>
        <w:spacing w:line="360" w:lineRule="auto"/>
        <w:ind w:left="360" w:firstLine="1020" w:firstLineChars="42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包件七:碳青霉烯酶分型检测</w:t>
      </w:r>
    </w:p>
    <w:p w14:paraId="6CF5A102">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供应商可响应1个或多个包件</w:t>
      </w:r>
    </w:p>
    <w:p w14:paraId="46AAB580">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服务期限：合同签订后2年</w:t>
      </w:r>
    </w:p>
    <w:p w14:paraId="3E2BD723">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14:paraId="46D8607A">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14:paraId="778825F3">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07</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14:paraId="3B72CE91">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14:paraId="6CBBF6E4">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13</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14:paraId="1C453616">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14:paraId="20B3CE32">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14:paraId="393FD8D7">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77F537D2">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14:paraId="51FFA737">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14:paraId="7EAF59D7">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14:paraId="128F4077">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14:paraId="7BE3C954">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14:paraId="05A2A054">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14:paraId="55D3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CA9200D">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14:paraId="458FF437">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14:paraId="6FC6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26ED8C57">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14:paraId="6329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9D5831C">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14:paraId="3A39701B">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14:paraId="2657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BB6652A">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14:paraId="2F97BB15">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sz w:val="24"/>
                <w:szCs w:val="24"/>
              </w:rPr>
              <w:t>叶酸受体细胞检测</w:t>
            </w:r>
            <w:r>
              <w:rPr>
                <w:rFonts w:hint="eastAsia" w:ascii="宋体" w:hAnsi="宋体" w:eastAsia="宋体" w:cs="宋体"/>
                <w:kern w:val="0"/>
                <w:sz w:val="24"/>
                <w:szCs w:val="24"/>
                <w:highlight w:val="none"/>
                <w:lang w:val="en-US" w:eastAsia="zh-CN"/>
              </w:rPr>
              <w:t>等试剂</w:t>
            </w:r>
          </w:p>
        </w:tc>
      </w:tr>
      <w:tr w14:paraId="4192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4A17EA6">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14:paraId="3E28C943">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sz w:val="24"/>
                <w:szCs w:val="24"/>
              </w:rPr>
              <w:t>叶酸受体细胞检测</w:t>
            </w:r>
            <w:r>
              <w:rPr>
                <w:rFonts w:hint="eastAsia" w:ascii="宋体" w:hAnsi="宋体" w:eastAsia="宋体" w:cs="宋体"/>
                <w:kern w:val="0"/>
                <w:sz w:val="24"/>
                <w:szCs w:val="24"/>
                <w:highlight w:val="none"/>
                <w:lang w:val="en-US" w:eastAsia="zh-CN"/>
              </w:rPr>
              <w:t>等试剂</w:t>
            </w:r>
          </w:p>
        </w:tc>
      </w:tr>
      <w:tr w14:paraId="03D0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22D7FA7">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14:paraId="773975CB">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14:paraId="4952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7FA2F1F">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14:paraId="243CA88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14:paraId="3AAF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40B4E5E">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14:paraId="58C29762">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14:paraId="0E1D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69C3B275">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14:paraId="3CF7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52AD0D7">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14:paraId="4285CEB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14:paraId="6A0F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3BCA0F9">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14:paraId="75EA317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14:paraId="0DFF009E">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14:paraId="7EA4DBD3">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14:paraId="25AB280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14:paraId="50869579">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14:paraId="5C19546E">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14:paraId="2EDF42BD">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14:paraId="1844ACA5">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14:paraId="1CB867AD">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14:paraId="4FAE14FE">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14:paraId="2C0AFC30">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14:paraId="164CE95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14:paraId="59AC94F7">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14:paraId="4A745AD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14:paraId="3CE70CAF">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14:paraId="7915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B631CA9">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14:paraId="6F02B398">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14:paraId="6E0E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B1BBD93">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14:paraId="15524489">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14:paraId="3C1D5F4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14:paraId="2472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E98ABA2">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14:paraId="0041711E">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14:paraId="6917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D702D4A">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14:paraId="3FADC840">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14:paraId="489C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792DC58">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14:paraId="782528AA">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14:paraId="353198C5">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14:paraId="6B25C715">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14:paraId="4E7D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CBCF577">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14:paraId="36EC1117">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14:paraId="5484BC70">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14:paraId="4AC5EA96">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14:paraId="7F48EA4E">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14:paraId="11AEBE6A">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14:paraId="6050A0D4">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14:paraId="737AA584">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14:paraId="1FE58A20">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14:paraId="4927F40B">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14:paraId="397C30FF">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14:paraId="11954247">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14:paraId="642F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6C8B49C">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14:paraId="763E813D">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14:paraId="1AB4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7BD05D2">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14:paraId="25B159C9">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14:paraId="05BA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6945579">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14:paraId="14422CD3">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14:paraId="0C70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DC07C66">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14:paraId="14AFB509">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14:paraId="1374FFAD">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14:paraId="18EBBA13">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14:paraId="1D71C94E">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14:paraId="2A6CC16D">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14:paraId="17B10A60">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14:paraId="5FB1EA03">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14:paraId="4561B12C">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14:paraId="4DB5C701">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14:paraId="512DA61B">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14:paraId="48C5492B">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14:paraId="058FDFCE">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14:paraId="0296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D581A4C">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14:paraId="35F8B5DC">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14:paraId="66C5F1C3">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14:paraId="297ECBC7">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14:paraId="1B620584">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14:paraId="29716E4A">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14:paraId="57FD5C33">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14:paraId="303526BC">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14:paraId="6604A8BD">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14:paraId="75EC976E">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14:paraId="20A48E4F">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14:paraId="460D5BD7">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14:paraId="243B2284">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14:paraId="7C25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2F25075">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14:paraId="14E9881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14:paraId="2CCA2F85">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14:paraId="639207B0">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14:paraId="48737AF1">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14:paraId="64AD631D">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14:paraId="50B4C54A">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14:paraId="08FD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B0E55A5">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14:paraId="2724344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14:paraId="3526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CBC755F">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14:paraId="53C7E64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14:paraId="210063E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14:paraId="489A588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14:paraId="5367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5B9EC8A">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14:paraId="02F15229">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14:paraId="0715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6F08D409">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14:paraId="0C03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702A91E">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14:paraId="028135A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14</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14:paraId="391EDEA5">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14:paraId="3F63E37B">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14:paraId="68AF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E17CF1E">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14:paraId="3205FD6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14:paraId="39FB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E32A486">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14:paraId="0CC4E58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14:paraId="3868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2DF6DB1">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14:paraId="637D47CE">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14:paraId="483D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A2E2986">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14:paraId="00911B40">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14:paraId="6A64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B250BB5">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14:paraId="0033705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14:paraId="7E31282E">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14:paraId="70C4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1610885">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14:paraId="4099DC3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14:paraId="6A1F3069">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14:paraId="684D830B">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14:paraId="480D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A8531C5">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14:paraId="2A1C9E1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14:paraId="4AA5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B7B5F52">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14:paraId="547B0E9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14:paraId="2837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3F3D15B">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14:paraId="2955690C">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14:paraId="17E7CF2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14:paraId="6EF8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0C74A9A5">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14:paraId="5556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5255C31">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14:paraId="106421D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14:paraId="39F5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CD1458E">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14:paraId="1B0A4FD5">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14:paraId="2AC3A413">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14:paraId="4F807D3D">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14:paraId="7D3397C7">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14:paraId="58223929">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14:paraId="2591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14:paraId="21BE5AFC">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14:paraId="01E90804">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14:paraId="2834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14:paraId="65DF152F">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14:paraId="77E7B7AD">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49D6544D">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14:paraId="24590E6F">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14:paraId="5972F1DD">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14:paraId="40E34684">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14:paraId="1499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14:paraId="6BF1F490">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14:paraId="2F733EEC">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14:paraId="010D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735C2F46">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14:paraId="3B665011">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14:paraId="316B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04C3DDDB">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14:paraId="2054F308">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14:paraId="7DAA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274BDF68">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14:paraId="37D1735A">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14:paraId="15C5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14:paraId="5065C9FB">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14:paraId="474FD2C5">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14:paraId="7E44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14:paraId="48DD7E2E">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14:paraId="02D96E30">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14:paraId="09AD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14:paraId="12D7F3D0">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14:paraId="412A171A">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14:paraId="0863793E">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14:paraId="14CF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7F337E23">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14:paraId="39C77B8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14:paraId="3F94EFB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14:paraId="7280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2B5D7CAF">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14:paraId="3515378C">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14:paraId="664F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3B6E4953">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14:paraId="26A47E9F">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14:paraId="307C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14:paraId="314A1436">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14:paraId="2A10CB48">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14:paraId="34FD41EC">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14:paraId="674C2534">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14:paraId="1D5FF549">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14:paraId="2894466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14:paraId="0AB69616">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sz w:val="24"/>
          <w:szCs w:val="24"/>
        </w:rPr>
        <w:t>叶酸受体细胞检测</w:t>
      </w:r>
    </w:p>
    <w:p w14:paraId="0128602B">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7022B4B6">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5BD69E48">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2EA4036F">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14:paraId="7F484FF5">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用途：通过体外定量检测人全血中叶酸受体阳性细胞。用于肿瘤组织中叶酸受体高表达的实体瘤的辅助检测。有助于肿瘤患者的诊断、术式指导、监测术后患者肿瘤的复发与转移、评估抗肿瘤药物的敏感性与患者预后以及选择个体化治疗的策略。</w:t>
      </w:r>
    </w:p>
    <w:p w14:paraId="3997591E">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检测方法：免疫磁珠负向筛选+靶向荧光定量PCR法。</w:t>
      </w:r>
    </w:p>
    <w:p w14:paraId="0E6224FE">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样本类型：≥3ml静脉血。</w:t>
      </w:r>
    </w:p>
    <w:p w14:paraId="4A7B03CE">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灵敏度：≥75%；特异性：≥85%。</w:t>
      </w:r>
    </w:p>
    <w:p w14:paraId="3FFF0A10">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lang w:val="en-US" w:eastAsia="zh-CN"/>
        </w:rPr>
        <w:t>检测时限：≤</w:t>
      </w:r>
      <w:r>
        <w:rPr>
          <w:rFonts w:hint="eastAsia" w:ascii="宋体" w:hAnsi="宋体" w:eastAsia="宋体"/>
          <w:b w:val="0"/>
          <w:bCs w:val="0"/>
          <w:sz w:val="24"/>
          <w:szCs w:val="24"/>
        </w:rPr>
        <w:t>6小时内完成检测。</w:t>
      </w:r>
    </w:p>
    <w:p w14:paraId="4CC64747">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有效期不小于6个月。</w:t>
      </w:r>
    </w:p>
    <w:p w14:paraId="29F59C54">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b w:val="0"/>
          <w:bCs w:val="0"/>
          <w:sz w:val="24"/>
          <w:szCs w:val="24"/>
        </w:rPr>
        <w:t>具冷链运输条件。</w:t>
      </w:r>
    </w:p>
    <w:p w14:paraId="499F81CA">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★投标人需响应医院SPD项目相关要求，并与上药医疗供应链管理（上海）有限公司签署相关SPD协议。</w:t>
      </w:r>
    </w:p>
    <w:p w14:paraId="428155F4">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p>
    <w:p w14:paraId="07C7059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14:paraId="540550E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14:paraId="20817CA0">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sz w:val="24"/>
          <w:lang w:val="en-US" w:eastAsia="zh-CN"/>
        </w:rPr>
        <w:t>Septin9基因甲基化检测</w:t>
      </w:r>
    </w:p>
    <w:p w14:paraId="13DEB30B">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54D62B73">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6DE0C716">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3294D8DB">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14:paraId="13E21327">
      <w:pPr>
        <w:pStyle w:val="15"/>
        <w:numPr>
          <w:ilvl w:val="0"/>
          <w:numId w:val="7"/>
        </w:num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检测方法：荧 光 PCR 法，3个平行PCR综合判读，采用三分之一算法</w:t>
      </w:r>
      <w:r>
        <w:rPr>
          <w:rFonts w:hint="eastAsia" w:ascii="宋体" w:hAnsi="宋体" w:cstheme="minorBidi"/>
          <w:b w:val="0"/>
          <w:bCs w:val="0"/>
          <w:kern w:val="2"/>
          <w:sz w:val="24"/>
          <w:szCs w:val="24"/>
          <w:lang w:val="en-US" w:eastAsia="zh-CN" w:bidi="ar-SA"/>
        </w:rPr>
        <w:t>。</w:t>
      </w:r>
    </w:p>
    <w:p w14:paraId="2C83C741">
      <w:pPr>
        <w:pStyle w:val="15"/>
        <w:numPr>
          <w:ilvl w:val="0"/>
          <w:numId w:val="7"/>
        </w:num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保存时效：硫化试剂开封后保存不少于6周，PCR反应液可以反复冻融次数不少于6次</w:t>
      </w:r>
      <w:r>
        <w:rPr>
          <w:rFonts w:hint="eastAsia" w:ascii="宋体" w:hAnsi="宋体" w:cstheme="minorBidi"/>
          <w:b w:val="0"/>
          <w:bCs w:val="0"/>
          <w:kern w:val="2"/>
          <w:sz w:val="24"/>
          <w:szCs w:val="24"/>
          <w:lang w:val="en-US" w:eastAsia="zh-CN" w:bidi="ar-SA"/>
        </w:rPr>
        <w:t>。</w:t>
      </w:r>
    </w:p>
    <w:p w14:paraId="3A6D275F">
      <w:pPr>
        <w:pStyle w:val="15"/>
        <w:numPr>
          <w:ilvl w:val="0"/>
          <w:numId w:val="7"/>
        </w:num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检测时长：不大于10小时</w:t>
      </w:r>
      <w:r>
        <w:rPr>
          <w:rFonts w:hint="eastAsia" w:ascii="宋体" w:hAnsi="宋体" w:cstheme="minorBidi"/>
          <w:b w:val="0"/>
          <w:bCs w:val="0"/>
          <w:kern w:val="2"/>
          <w:sz w:val="24"/>
          <w:szCs w:val="24"/>
          <w:lang w:val="en-US" w:eastAsia="zh-CN" w:bidi="ar-SA"/>
        </w:rPr>
        <w:t>。</w:t>
      </w:r>
    </w:p>
    <w:p w14:paraId="37D9B2A1">
      <w:pPr>
        <w:pStyle w:val="15"/>
        <w:numPr>
          <w:ilvl w:val="0"/>
          <w:numId w:val="7"/>
        </w:num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有效期：不少于12个月</w:t>
      </w:r>
      <w:r>
        <w:rPr>
          <w:rFonts w:hint="eastAsia" w:ascii="宋体" w:hAnsi="宋体" w:cstheme="minorBidi"/>
          <w:b w:val="0"/>
          <w:bCs w:val="0"/>
          <w:kern w:val="2"/>
          <w:sz w:val="24"/>
          <w:szCs w:val="24"/>
          <w:lang w:val="en-US" w:eastAsia="zh-CN" w:bidi="ar-SA"/>
        </w:rPr>
        <w:t>。</w:t>
      </w:r>
    </w:p>
    <w:p w14:paraId="027A77FB">
      <w:pPr>
        <w:pStyle w:val="15"/>
        <w:numPr>
          <w:ilvl w:val="0"/>
          <w:numId w:val="7"/>
        </w:num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储存条件：具冷链运输条件</w:t>
      </w:r>
      <w:r>
        <w:rPr>
          <w:rFonts w:hint="eastAsia" w:ascii="宋体" w:hAnsi="宋体" w:cstheme="minorBidi"/>
          <w:b w:val="0"/>
          <w:bCs w:val="0"/>
          <w:kern w:val="2"/>
          <w:sz w:val="24"/>
          <w:szCs w:val="24"/>
          <w:lang w:val="en-US" w:eastAsia="zh-CN" w:bidi="ar-SA"/>
        </w:rPr>
        <w:t>。</w:t>
      </w:r>
    </w:p>
    <w:p w14:paraId="6BA110D8">
      <w:pPr>
        <w:pStyle w:val="210"/>
        <w:numPr>
          <w:ilvl w:val="0"/>
          <w:numId w:val="7"/>
        </w:numPr>
        <w:tabs>
          <w:tab w:val="left" w:pos="469"/>
        </w:tabs>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灵敏度：</w:t>
      </w:r>
    </w:p>
    <w:p w14:paraId="227F4B98">
      <w:pPr>
        <w:pStyle w:val="210"/>
        <w:tabs>
          <w:tab w:val="left" w:pos="469"/>
        </w:tabs>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（1）在 10ng/mL 野生型基因组 DNA 背景下，对 septin9 甲基化DNA 含量为 0.1%的灵敏度参考品能够准确检出。</w:t>
      </w:r>
    </w:p>
    <w:p w14:paraId="7CF2B5D3">
      <w:pPr>
        <w:pStyle w:val="210"/>
        <w:tabs>
          <w:tab w:val="left" w:pos="469"/>
        </w:tabs>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（2）在 septin9 甲基化 DNA 含量为 1%背景下，对 DNA 浓度为1ng/mL 的灵敏度参考品能够准确检出。</w:t>
      </w:r>
    </w:p>
    <w:p w14:paraId="702035D1">
      <w:pPr>
        <w:pStyle w:val="210"/>
        <w:numPr>
          <w:ilvl w:val="0"/>
          <w:numId w:val="7"/>
        </w:numPr>
        <w:tabs>
          <w:tab w:val="left" w:pos="469"/>
        </w:tabs>
        <w:spacing w:before="6" w:line="360" w:lineRule="auto"/>
        <w:ind w:right="1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精密度：</w:t>
      </w:r>
    </w:p>
    <w:p w14:paraId="7A32C313">
      <w:pPr>
        <w:pStyle w:val="210"/>
        <w:numPr>
          <w:ilvl w:val="0"/>
          <w:numId w:val="8"/>
        </w:numPr>
        <w:tabs>
          <w:tab w:val="left" w:pos="469"/>
        </w:tabs>
        <w:spacing w:before="6" w:line="360" w:lineRule="auto"/>
        <w:ind w:right="1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对同一份强阳精密度参考品重复检测 10 次，阳性检出率为 100%， 且 CV≤5%。</w:t>
      </w:r>
    </w:p>
    <w:p w14:paraId="67512325">
      <w:pPr>
        <w:pStyle w:val="210"/>
        <w:numPr>
          <w:ilvl w:val="0"/>
          <w:numId w:val="8"/>
        </w:numPr>
        <w:tabs>
          <w:tab w:val="left" w:pos="469"/>
        </w:tabs>
        <w:spacing w:before="6" w:line="360" w:lineRule="auto"/>
        <w:ind w:right="1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对同一份弱阳精密度参考品重复检测 10 次，阳性检出率为 100%，且 CV≤5%。</w:t>
      </w:r>
    </w:p>
    <w:p w14:paraId="153D3E93">
      <w:pPr>
        <w:numPr>
          <w:ilvl w:val="0"/>
          <w:numId w:val="9"/>
        </w:numPr>
        <w:adjustRightInd w:val="0"/>
        <w:snapToGrid w:val="0"/>
        <w:spacing w:line="360" w:lineRule="auto"/>
        <w:ind w:left="425" w:leftChars="0" w:hanging="425" w:firstLineChars="0"/>
        <w:rPr>
          <w:rFonts w:ascii="宋体" w:hAnsi="宋体" w:eastAsia="宋体"/>
          <w:sz w:val="21"/>
          <w:szCs w:val="21"/>
        </w:rPr>
      </w:pPr>
      <w:r>
        <w:rPr>
          <w:rFonts w:hint="eastAsia" w:ascii="宋体" w:hAnsi="宋体" w:eastAsia="宋体"/>
          <w:b w:val="0"/>
          <w:bCs w:val="0"/>
          <w:sz w:val="24"/>
          <w:szCs w:val="24"/>
        </w:rPr>
        <w:t>★</w:t>
      </w:r>
      <w:r>
        <w:rPr>
          <w:rFonts w:hint="eastAsia" w:ascii="宋体" w:hAnsi="宋体" w:eastAsia="宋体" w:cstheme="minorBidi"/>
          <w:b w:val="0"/>
          <w:bCs w:val="0"/>
          <w:kern w:val="2"/>
          <w:sz w:val="24"/>
          <w:szCs w:val="24"/>
          <w:lang w:val="en-US" w:eastAsia="zh-CN" w:bidi="ar-SA"/>
        </w:rPr>
        <w:t>投标人需响应医院SPD项目相关要求，并与上药医疗供应链管理（上海）有限公司签署相关SPD协议。</w:t>
      </w:r>
    </w:p>
    <w:p w14:paraId="221103B7">
      <w:pPr>
        <w:numPr>
          <w:ilvl w:val="0"/>
          <w:numId w:val="0"/>
        </w:numPr>
        <w:spacing w:line="360" w:lineRule="auto"/>
        <w:ind w:leftChars="0"/>
        <w:rPr>
          <w:rFonts w:hint="eastAsia" w:ascii="宋体" w:hAnsi="宋体" w:eastAsia="宋体" w:cs="宋体"/>
          <w:sz w:val="24"/>
          <w:szCs w:val="24"/>
          <w:lang w:val="en-US" w:eastAsia="zh-CN"/>
        </w:rPr>
      </w:pPr>
    </w:p>
    <w:p w14:paraId="1A10016B">
      <w:pPr>
        <w:numPr>
          <w:ilvl w:val="0"/>
          <w:numId w:val="0"/>
        </w:numPr>
        <w:spacing w:line="360" w:lineRule="auto"/>
        <w:ind w:leftChars="0"/>
        <w:rPr>
          <w:rFonts w:hint="eastAsia" w:ascii="宋体" w:hAnsi="宋体" w:eastAsia="宋体" w:cs="宋体"/>
          <w:sz w:val="24"/>
          <w:lang w:val="en-US" w:eastAsia="zh-CN"/>
        </w:rPr>
      </w:pPr>
    </w:p>
    <w:p w14:paraId="13E0BA3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14:paraId="6CAAF690">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eastAsia="宋体" w:cs="宋体"/>
          <w:sz w:val="24"/>
          <w:lang w:val="en-US" w:eastAsia="zh-CN"/>
        </w:rPr>
        <w:t>7种微小核糖核酸(microRNA)检测</w:t>
      </w:r>
    </w:p>
    <w:p w14:paraId="1DF2A403">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530DD9A6">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301E2F83">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1A6D896D">
      <w:pPr>
        <w:numPr>
          <w:ilvl w:val="0"/>
          <w:numId w:val="10"/>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14:paraId="0BD3514E">
      <w:pPr>
        <w:pStyle w:val="54"/>
        <w:numPr>
          <w:ilvl w:val="0"/>
          <w:numId w:val="11"/>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分析灵敏度：检测企业最低检测限参考品A（7种microRNA和内参的浓度都低于50拷贝/μL）25次，8个基因的Ct值均≤3</w:t>
      </w:r>
      <w:r>
        <w:rPr>
          <w:rFonts w:hint="eastAsia" w:ascii="宋体" w:hAnsi="宋体" w:eastAsia="宋体"/>
          <w:b w:val="0"/>
          <w:bCs w:val="0"/>
          <w:sz w:val="24"/>
          <w:szCs w:val="24"/>
          <w:lang w:val="en-US" w:eastAsia="zh-CN"/>
        </w:rPr>
        <w:t>5</w:t>
      </w:r>
      <w:r>
        <w:rPr>
          <w:rFonts w:hint="eastAsia" w:ascii="宋体" w:hAnsi="宋体" w:eastAsia="宋体"/>
          <w:b w:val="0"/>
          <w:bCs w:val="0"/>
          <w:sz w:val="24"/>
          <w:szCs w:val="24"/>
        </w:rPr>
        <w:t>，阳性检出率应大于≥90%。本试剂盒的分析灵敏度为50拷贝/μL。</w:t>
      </w:r>
    </w:p>
    <w:p w14:paraId="18EB699F">
      <w:pPr>
        <w:pStyle w:val="54"/>
        <w:numPr>
          <w:ilvl w:val="0"/>
          <w:numId w:val="11"/>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质控特异度：检测6份企业阴性参考品(来源于临床上确诊的乙肝、肝硬化、胃癌、肠癌、食道癌或健康人的比对样本)，8个基因的Ct值均</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40，综合评估值结果均阴性。检测1份企业特异度参考品（含有基因序列相似的microRNA靶标），8个基因的Ct值均</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34或无数值。总符合率为100%。</w:t>
      </w:r>
    </w:p>
    <w:p w14:paraId="627A7543">
      <w:pPr>
        <w:pStyle w:val="54"/>
        <w:numPr>
          <w:ilvl w:val="0"/>
          <w:numId w:val="11"/>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质控准确度：检测5份企业阳性参考品，8个基因的Ct值均</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40，综合评估值结果均阳性，符合率为100%。</w:t>
      </w:r>
    </w:p>
    <w:p w14:paraId="25F131CE">
      <w:pPr>
        <w:pStyle w:val="54"/>
        <w:numPr>
          <w:ilvl w:val="0"/>
          <w:numId w:val="11"/>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批内精密度：高、低两个浓度的企业精密度参考品各重复测定10次，8个microRNA的Ct值的CV值均≤5.0％。</w:t>
      </w:r>
    </w:p>
    <w:p w14:paraId="3DEB7841">
      <w:pPr>
        <w:pStyle w:val="54"/>
        <w:numPr>
          <w:ilvl w:val="0"/>
          <w:numId w:val="11"/>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抗干扰性：当样本含有以下浓度的干扰物质时，对测定结果没有影响。1000uM胆红素、100mM甘油三酯、3ug/mL拉米夫定、60ug/mL泰诺、40ng/mLα-干扰素、60ug/mL对乙酰氨基酚、12ug/mL顺铂。</w:t>
      </w:r>
    </w:p>
    <w:p w14:paraId="48DE749C">
      <w:pPr>
        <w:pStyle w:val="54"/>
        <w:numPr>
          <w:ilvl w:val="0"/>
          <w:numId w:val="11"/>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涵盖基因：miR-21,miR-26a,miR-27a,miR-122,miR-192,miR-223,miR-801。</w:t>
      </w:r>
    </w:p>
    <w:p w14:paraId="169D1D84">
      <w:pPr>
        <w:pStyle w:val="54"/>
        <w:numPr>
          <w:ilvl w:val="0"/>
          <w:numId w:val="11"/>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样本采集方法：血浆(EDTA抗凝)。血浆提取应在外周血采集后的4小时内完成。不适用于溶血的样本的检测。</w:t>
      </w:r>
    </w:p>
    <w:p w14:paraId="5EA1AFDB">
      <w:pPr>
        <w:pStyle w:val="54"/>
        <w:numPr>
          <w:ilvl w:val="0"/>
          <w:numId w:val="11"/>
        </w:numPr>
        <w:spacing w:line="360" w:lineRule="auto"/>
        <w:ind w:left="425" w:leftChars="0" w:hanging="425" w:firstLineChars="0"/>
        <w:rPr>
          <w:rFonts w:hint="eastAsia" w:ascii="宋体" w:hAnsi="宋体" w:eastAsia="宋体"/>
          <w:b w:val="0"/>
          <w:bCs w:val="0"/>
          <w:sz w:val="24"/>
          <w:szCs w:val="24"/>
          <w:lang w:val="en-US"/>
        </w:rPr>
      </w:pPr>
      <w:r>
        <w:rPr>
          <w:rFonts w:hint="eastAsia" w:ascii="宋体" w:hAnsi="宋体" w:eastAsia="宋体"/>
          <w:b w:val="0"/>
          <w:bCs w:val="0"/>
          <w:sz w:val="24"/>
          <w:szCs w:val="24"/>
        </w:rPr>
        <w:t>有效期：不少于12个月</w:t>
      </w:r>
      <w:r>
        <w:rPr>
          <w:rFonts w:hint="eastAsia" w:ascii="宋体" w:hAnsi="宋体" w:eastAsia="宋体"/>
          <w:b w:val="0"/>
          <w:bCs w:val="0"/>
          <w:sz w:val="24"/>
          <w:szCs w:val="24"/>
          <w:lang w:eastAsia="zh-CN"/>
        </w:rPr>
        <w:t>。</w:t>
      </w:r>
    </w:p>
    <w:p w14:paraId="08670738">
      <w:pPr>
        <w:pStyle w:val="54"/>
        <w:numPr>
          <w:ilvl w:val="0"/>
          <w:numId w:val="11"/>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rPr>
        <w:t>储存条件</w:t>
      </w:r>
      <w:r>
        <w:rPr>
          <w:rFonts w:hint="eastAsia" w:ascii="宋体" w:hAnsi="宋体" w:eastAsia="宋体"/>
          <w:b w:val="0"/>
          <w:bCs w:val="0"/>
          <w:sz w:val="24"/>
          <w:szCs w:val="24"/>
        </w:rPr>
        <w:t>：具冷链运输条件</w:t>
      </w:r>
      <w:r>
        <w:rPr>
          <w:rFonts w:hint="eastAsia" w:ascii="宋体" w:hAnsi="宋体" w:eastAsia="宋体"/>
          <w:b w:val="0"/>
          <w:bCs w:val="0"/>
          <w:sz w:val="24"/>
          <w:szCs w:val="24"/>
          <w:lang w:eastAsia="zh-CN"/>
        </w:rPr>
        <w:t>。</w:t>
      </w:r>
    </w:p>
    <w:p w14:paraId="5770F8A6">
      <w:pPr>
        <w:pStyle w:val="54"/>
        <w:numPr>
          <w:ilvl w:val="0"/>
          <w:numId w:val="11"/>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投标人需响应医院SPD项目相关要求,并与上药医疗供应链管理(上海)有限公司签署相关SPD协议。</w:t>
      </w:r>
    </w:p>
    <w:p w14:paraId="4ACC87C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40D0D3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0AD700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14:paraId="3EED2F85">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eastAsia="宋体" w:cs="宋体"/>
          <w:sz w:val="24"/>
          <w:lang w:val="en-US" w:eastAsia="zh-CN"/>
        </w:rPr>
        <w:t>乙型肝炎病毒基因YMDD突变测定</w:t>
      </w:r>
    </w:p>
    <w:p w14:paraId="128C826B">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56727CE0">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2D4D2A03">
      <w:pPr>
        <w:pStyle w:val="54"/>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5CB4AF91">
      <w:pPr>
        <w:numPr>
          <w:ilvl w:val="0"/>
          <w:numId w:val="12"/>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14:paraId="4456D017">
      <w:pPr>
        <w:numPr>
          <w:ilvl w:val="0"/>
          <w:numId w:val="13"/>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用途：可定性检测 HBVCYMDD 基因突变(rtM204I、rtM204V)、BrtL180M突变</w:t>
      </w:r>
      <w:r>
        <w:rPr>
          <w:rFonts w:hint="eastAsia" w:ascii="宋体" w:hAnsi="宋体" w:eastAsia="宋体"/>
          <w:b w:val="0"/>
          <w:bCs w:val="0"/>
          <w:sz w:val="24"/>
          <w:szCs w:val="24"/>
          <w:lang w:eastAsia="zh-CN"/>
        </w:rPr>
        <w:t>。</w:t>
      </w:r>
    </w:p>
    <w:p w14:paraId="5C72D6AD">
      <w:pPr>
        <w:numPr>
          <w:ilvl w:val="0"/>
          <w:numId w:val="13"/>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技术平台与适用仪器：PCR-反向点杂交技术，PCR仪，电热恒温振荡水槽</w:t>
      </w:r>
      <w:r>
        <w:rPr>
          <w:rFonts w:hint="eastAsia" w:ascii="宋体" w:hAnsi="宋体" w:eastAsia="宋体"/>
          <w:b w:val="0"/>
          <w:bCs w:val="0"/>
          <w:sz w:val="24"/>
          <w:szCs w:val="24"/>
          <w:lang w:eastAsia="zh-CN"/>
        </w:rPr>
        <w:t>。</w:t>
      </w:r>
    </w:p>
    <w:p w14:paraId="65081907">
      <w:pPr>
        <w:numPr>
          <w:ilvl w:val="0"/>
          <w:numId w:val="13"/>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样本类型：人血清或血浆样本</w:t>
      </w:r>
      <w:r>
        <w:rPr>
          <w:rFonts w:hint="eastAsia" w:ascii="宋体" w:hAnsi="宋体" w:eastAsia="宋体"/>
          <w:b w:val="0"/>
          <w:bCs w:val="0"/>
          <w:sz w:val="24"/>
          <w:szCs w:val="24"/>
          <w:lang w:eastAsia="zh-CN"/>
        </w:rPr>
        <w:t>。</w:t>
      </w:r>
    </w:p>
    <w:p w14:paraId="72A938E2">
      <w:pPr>
        <w:numPr>
          <w:ilvl w:val="0"/>
          <w:numId w:val="13"/>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核酸纯化方式：可采用煮沸法进行核酸提取，也可采用磁珠法自动化仪器提取</w:t>
      </w:r>
      <w:r>
        <w:rPr>
          <w:rFonts w:hint="eastAsia" w:ascii="宋体" w:hAnsi="宋体" w:eastAsia="宋体"/>
          <w:b w:val="0"/>
          <w:bCs w:val="0"/>
          <w:sz w:val="24"/>
          <w:szCs w:val="24"/>
          <w:lang w:eastAsia="zh-CN"/>
        </w:rPr>
        <w:t>。</w:t>
      </w:r>
    </w:p>
    <w:p w14:paraId="3A7DD12E">
      <w:pPr>
        <w:numPr>
          <w:ilvl w:val="0"/>
          <w:numId w:val="13"/>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质量控制要求：显色质控、阴阳性质控等</w:t>
      </w:r>
      <w:r>
        <w:rPr>
          <w:rFonts w:hint="eastAsia" w:ascii="宋体" w:hAnsi="宋体" w:eastAsia="宋体"/>
          <w:b w:val="0"/>
          <w:bCs w:val="0"/>
          <w:sz w:val="24"/>
          <w:szCs w:val="24"/>
          <w:lang w:eastAsia="zh-CN"/>
        </w:rPr>
        <w:t>。</w:t>
      </w:r>
    </w:p>
    <w:p w14:paraId="749CBB80">
      <w:pPr>
        <w:numPr>
          <w:ilvl w:val="0"/>
          <w:numId w:val="13"/>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最低检出浓度：≤5000 IU/m</w:t>
      </w:r>
      <w:r>
        <w:rPr>
          <w:rFonts w:hint="eastAsia" w:ascii="宋体" w:hAnsi="宋体" w:eastAsia="宋体"/>
          <w:b w:val="0"/>
          <w:bCs w:val="0"/>
          <w:sz w:val="24"/>
          <w:szCs w:val="24"/>
          <w:lang w:eastAsia="zh-CN"/>
        </w:rPr>
        <w:t>。</w:t>
      </w:r>
    </w:p>
    <w:p w14:paraId="3307BBAE">
      <w:pPr>
        <w:numPr>
          <w:ilvl w:val="0"/>
          <w:numId w:val="13"/>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抗干扰要求：试剂盒与HCV（丙型肝炎病毒）、HIV-1（人类免疫缺陷病毒 1 型）、TP（梅毒）无交叉反应</w:t>
      </w:r>
      <w:r>
        <w:rPr>
          <w:rFonts w:hint="eastAsia" w:ascii="宋体" w:hAnsi="宋体" w:eastAsia="宋体"/>
          <w:b w:val="0"/>
          <w:bCs w:val="0"/>
          <w:sz w:val="24"/>
          <w:szCs w:val="24"/>
          <w:lang w:eastAsia="zh-CN"/>
        </w:rPr>
        <w:t>。</w:t>
      </w:r>
    </w:p>
    <w:p w14:paraId="3A3D634B">
      <w:pPr>
        <w:numPr>
          <w:ilvl w:val="0"/>
          <w:numId w:val="13"/>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检测精密度：本试剂盒批内及批间的积分光密度值（IOD 值）的变异系数（CV%）均≤50％</w:t>
      </w:r>
      <w:r>
        <w:rPr>
          <w:rFonts w:hint="eastAsia" w:ascii="宋体" w:hAnsi="宋体" w:eastAsia="宋体"/>
          <w:b w:val="0"/>
          <w:bCs w:val="0"/>
          <w:sz w:val="24"/>
          <w:szCs w:val="24"/>
          <w:lang w:eastAsia="zh-CN"/>
        </w:rPr>
        <w:t>。</w:t>
      </w:r>
    </w:p>
    <w:p w14:paraId="1E4C367B">
      <w:pPr>
        <w:numPr>
          <w:ilvl w:val="0"/>
          <w:numId w:val="13"/>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符合率：本试剂盒的灵敏度为≥ 95%，特异性为 ≥98%，准确度为≥97%，对不同 YMDD 基因突变检测结果无差异。</w:t>
      </w:r>
    </w:p>
    <w:p w14:paraId="4CBADE04">
      <w:pPr>
        <w:numPr>
          <w:ilvl w:val="0"/>
          <w:numId w:val="13"/>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rPr>
        <w:t>有效期：</w:t>
      </w:r>
      <w:r>
        <w:rPr>
          <w:rFonts w:hint="eastAsia" w:ascii="宋体" w:hAnsi="宋体" w:eastAsia="宋体"/>
          <w:b w:val="0"/>
          <w:bCs w:val="0"/>
          <w:sz w:val="24"/>
          <w:szCs w:val="24"/>
          <w:lang w:val="en-US"/>
        </w:rPr>
        <w:t>不少于8个月</w:t>
      </w:r>
      <w:r>
        <w:rPr>
          <w:rFonts w:hint="eastAsia" w:ascii="宋体" w:hAnsi="宋体" w:eastAsia="宋体"/>
          <w:b w:val="0"/>
          <w:bCs w:val="0"/>
          <w:sz w:val="24"/>
          <w:szCs w:val="24"/>
          <w:lang w:val="en-US" w:eastAsia="zh-CN"/>
        </w:rPr>
        <w:t>。</w:t>
      </w:r>
    </w:p>
    <w:p w14:paraId="219963A1">
      <w:pPr>
        <w:numPr>
          <w:ilvl w:val="0"/>
          <w:numId w:val="13"/>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rPr>
        <w:t>储存条件：具冷链运输条件</w:t>
      </w:r>
      <w:r>
        <w:rPr>
          <w:rFonts w:hint="eastAsia" w:ascii="宋体" w:hAnsi="宋体" w:eastAsia="宋体"/>
          <w:b w:val="0"/>
          <w:bCs w:val="0"/>
          <w:sz w:val="24"/>
          <w:szCs w:val="24"/>
          <w:lang w:val="en-US" w:eastAsia="zh-CN"/>
        </w:rPr>
        <w:t>。</w:t>
      </w:r>
    </w:p>
    <w:p w14:paraId="176301DB">
      <w:pPr>
        <w:numPr>
          <w:ilvl w:val="0"/>
          <w:numId w:val="13"/>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投标人需响应医院SPD项目相关要求,并与上药医疗供应链管理(上海)有限公司签署相关SPD协议。</w:t>
      </w:r>
    </w:p>
    <w:p w14:paraId="7F0F03B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3A3D15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53F09E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14:paraId="64266AD9">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sz w:val="24"/>
          <w:szCs w:val="24"/>
        </w:rPr>
        <w:t>HBV-pgRNA测定</w:t>
      </w:r>
    </w:p>
    <w:p w14:paraId="654F1667">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36BEC68A">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4B77F482">
      <w:pPr>
        <w:pStyle w:val="54"/>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219E07B9">
      <w:pPr>
        <w:numPr>
          <w:ilvl w:val="0"/>
          <w:numId w:val="14"/>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14:paraId="58C674A7">
      <w:pPr>
        <w:numPr>
          <w:ilvl w:val="0"/>
          <w:numId w:val="1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检测技术：实时荧光核酸恒温扩增检测技术</w:t>
      </w:r>
    </w:p>
    <w:p w14:paraId="315F9FEC">
      <w:pPr>
        <w:numPr>
          <w:ilvl w:val="0"/>
          <w:numId w:val="1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提取技术：磁珠提取技术</w:t>
      </w:r>
    </w:p>
    <w:p w14:paraId="08FE8646">
      <w:pPr>
        <w:numPr>
          <w:ilvl w:val="0"/>
          <w:numId w:val="1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检测灵敏度：检测下限≤50 copies/mL</w:t>
      </w:r>
    </w:p>
    <w:p w14:paraId="492422E0">
      <w:pPr>
        <w:numPr>
          <w:ilvl w:val="0"/>
          <w:numId w:val="1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检测定量范围：102-108copies/mL</w:t>
      </w:r>
    </w:p>
    <w:p w14:paraId="53CFC9DE">
      <w:pPr>
        <w:numPr>
          <w:ilvl w:val="0"/>
          <w:numId w:val="1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总反应体积≤100μL</w:t>
      </w:r>
    </w:p>
    <w:p w14:paraId="14A54737">
      <w:pPr>
        <w:numPr>
          <w:ilvl w:val="0"/>
          <w:numId w:val="1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质量控制：阴阳性质控品与样本同时提取，监控操作过程及扩增反应</w:t>
      </w:r>
    </w:p>
    <w:p w14:paraId="66D150B0">
      <w:pPr>
        <w:numPr>
          <w:ilvl w:val="0"/>
          <w:numId w:val="1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靶向探针捕获物质为：RNA，无需添加去除DNA物质的试剂，扩增过程只扩增HBV RNA而非DNA</w:t>
      </w:r>
    </w:p>
    <w:p w14:paraId="5F8D2FB2">
      <w:pPr>
        <w:numPr>
          <w:ilvl w:val="0"/>
          <w:numId w:val="1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试剂配备全自动核酸检测分析系统可实现标本原管上机一键完成乙肝RNA实验</w:t>
      </w:r>
    </w:p>
    <w:p w14:paraId="4D0753E3">
      <w:pPr>
        <w:numPr>
          <w:ilvl w:val="0"/>
          <w:numId w:val="1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有效期：不小于12个月</w:t>
      </w:r>
    </w:p>
    <w:p w14:paraId="7C397EBB">
      <w:pPr>
        <w:numPr>
          <w:ilvl w:val="0"/>
          <w:numId w:val="1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储存条件：具有冷链运输条件</w:t>
      </w:r>
    </w:p>
    <w:p w14:paraId="08A5B75F">
      <w:pPr>
        <w:numPr>
          <w:ilvl w:val="0"/>
          <w:numId w:val="1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外周血血清中 HBV RNA 可反应肝内 HBV 病毒的转录活性，在部分血清 HBV DNA 低于检测下限的样本中，HBV RNA 仍可以被检测到</w:t>
      </w:r>
    </w:p>
    <w:p w14:paraId="4F65E3E8">
      <w:pPr>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投标人需响应医院SPD项目相关要求,并与上药医疗供应链管理(上海)有限公司签署相关SPD协议</w:t>
      </w:r>
    </w:p>
    <w:p w14:paraId="28D1A6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包件六：</w:t>
      </w:r>
    </w:p>
    <w:p w14:paraId="60B42863">
      <w:pPr>
        <w:pStyle w:val="54"/>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sz w:val="24"/>
          <w:szCs w:val="24"/>
        </w:rPr>
        <w:t>血清胰高血糖素测定</w:t>
      </w:r>
    </w:p>
    <w:p w14:paraId="660AD4FB">
      <w:pPr>
        <w:pStyle w:val="54"/>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50DF6A53">
      <w:pPr>
        <w:pStyle w:val="54"/>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443BE771">
      <w:pPr>
        <w:pStyle w:val="54"/>
        <w:numPr>
          <w:ilvl w:val="0"/>
          <w:numId w:val="1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16DDCD6E">
      <w:pPr>
        <w:numPr>
          <w:ilvl w:val="0"/>
          <w:numId w:val="16"/>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14:paraId="16706DAE">
      <w:pPr>
        <w:widowControl/>
        <w:numPr>
          <w:ilvl w:val="0"/>
          <w:numId w:val="1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样本类型：血浆/血清</w:t>
      </w:r>
      <w:r>
        <w:rPr>
          <w:rFonts w:hint="eastAsia" w:ascii="宋体" w:hAnsi="宋体" w:eastAsia="宋体" w:cs="宋体"/>
          <w:sz w:val="24"/>
          <w:szCs w:val="24"/>
          <w:lang w:eastAsia="zh-CN"/>
        </w:rPr>
        <w:t>。</w:t>
      </w:r>
    </w:p>
    <w:p w14:paraId="5392D594">
      <w:pPr>
        <w:widowControl/>
        <w:numPr>
          <w:ilvl w:val="0"/>
          <w:numId w:val="1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检测指标：胰高血糖素</w:t>
      </w:r>
      <w:r>
        <w:rPr>
          <w:rFonts w:hint="eastAsia" w:ascii="宋体" w:hAnsi="宋体" w:eastAsia="宋体" w:cs="宋体"/>
          <w:sz w:val="24"/>
          <w:szCs w:val="24"/>
          <w:lang w:eastAsia="zh-CN"/>
        </w:rPr>
        <w:t>。</w:t>
      </w:r>
    </w:p>
    <w:p w14:paraId="56256122">
      <w:pPr>
        <w:widowControl/>
        <w:numPr>
          <w:ilvl w:val="0"/>
          <w:numId w:val="1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检测方法：化学发光免疫分析法</w:t>
      </w:r>
      <w:r>
        <w:rPr>
          <w:rFonts w:hint="eastAsia" w:ascii="宋体" w:hAnsi="宋体" w:eastAsia="宋体" w:cs="宋体"/>
          <w:sz w:val="24"/>
          <w:szCs w:val="24"/>
          <w:lang w:eastAsia="zh-CN"/>
        </w:rPr>
        <w:t>。</w:t>
      </w:r>
    </w:p>
    <w:p w14:paraId="16C51A71">
      <w:pPr>
        <w:widowControl/>
        <w:numPr>
          <w:ilvl w:val="0"/>
          <w:numId w:val="1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 xml:space="preserve">最低检测限： </w:t>
      </w:r>
      <w:r>
        <w:rPr>
          <w:rFonts w:hint="eastAsia" w:ascii="宋体" w:hAnsi="宋体" w:eastAsia="宋体" w:cs="宋体"/>
          <w:sz w:val="24"/>
          <w:szCs w:val="24"/>
          <w:lang w:val="en-US" w:eastAsia="zh-CN"/>
        </w:rPr>
        <w:t>＜</w:t>
      </w:r>
      <w:r>
        <w:rPr>
          <w:rFonts w:hint="eastAsia" w:ascii="宋体" w:hAnsi="宋体" w:eastAsia="宋体" w:cs="宋体"/>
          <w:sz w:val="24"/>
          <w:szCs w:val="24"/>
        </w:rPr>
        <w:t>2.0 pmol/L</w:t>
      </w:r>
      <w:r>
        <w:rPr>
          <w:rFonts w:hint="eastAsia" w:ascii="宋体" w:hAnsi="宋体" w:eastAsia="宋体" w:cs="宋体"/>
          <w:sz w:val="24"/>
          <w:szCs w:val="24"/>
          <w:lang w:eastAsia="zh-CN"/>
        </w:rPr>
        <w:t>。</w:t>
      </w:r>
    </w:p>
    <w:p w14:paraId="745C0DEA">
      <w:pPr>
        <w:widowControl/>
        <w:numPr>
          <w:ilvl w:val="0"/>
          <w:numId w:val="1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准确度：相对偏差 ＜±10%</w:t>
      </w:r>
      <w:r>
        <w:rPr>
          <w:rFonts w:hint="eastAsia" w:ascii="宋体" w:hAnsi="宋体" w:eastAsia="宋体" w:cs="宋体"/>
          <w:sz w:val="24"/>
          <w:szCs w:val="24"/>
          <w:lang w:eastAsia="zh-CN"/>
        </w:rPr>
        <w:t>。</w:t>
      </w:r>
    </w:p>
    <w:p w14:paraId="0C3AAB6E">
      <w:pPr>
        <w:widowControl/>
        <w:numPr>
          <w:ilvl w:val="0"/>
          <w:numId w:val="1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试剂线性范围：2-128 pmol/L</w:t>
      </w:r>
      <w:r>
        <w:rPr>
          <w:rFonts w:hint="eastAsia" w:ascii="宋体" w:hAnsi="宋体" w:eastAsia="宋体" w:cs="宋体"/>
          <w:sz w:val="24"/>
          <w:szCs w:val="24"/>
          <w:lang w:eastAsia="zh-CN"/>
        </w:rPr>
        <w:t>。</w:t>
      </w:r>
    </w:p>
    <w:p w14:paraId="2CCF780B">
      <w:pPr>
        <w:widowControl/>
        <w:numPr>
          <w:ilvl w:val="0"/>
          <w:numId w:val="1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参考区间：2-18 pmol/L</w:t>
      </w:r>
      <w:r>
        <w:rPr>
          <w:rFonts w:hint="eastAsia" w:ascii="宋体" w:hAnsi="宋体" w:eastAsia="宋体" w:cs="宋体"/>
          <w:sz w:val="24"/>
          <w:szCs w:val="24"/>
          <w:lang w:eastAsia="zh-CN"/>
        </w:rPr>
        <w:t>。</w:t>
      </w:r>
    </w:p>
    <w:p w14:paraId="1BE9D923">
      <w:pPr>
        <w:widowControl/>
        <w:numPr>
          <w:ilvl w:val="0"/>
          <w:numId w:val="1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批内精密度：CV≤10%，批件精密度：CV≤10%</w:t>
      </w:r>
      <w:r>
        <w:rPr>
          <w:rFonts w:hint="eastAsia" w:ascii="宋体" w:hAnsi="宋体" w:eastAsia="宋体" w:cs="宋体"/>
          <w:sz w:val="24"/>
          <w:szCs w:val="24"/>
          <w:lang w:eastAsia="zh-CN"/>
        </w:rPr>
        <w:t>。</w:t>
      </w:r>
    </w:p>
    <w:p w14:paraId="07FA7858">
      <w:pPr>
        <w:widowControl/>
        <w:numPr>
          <w:ilvl w:val="0"/>
          <w:numId w:val="17"/>
        </w:numPr>
        <w:spacing w:line="360" w:lineRule="auto"/>
        <w:ind w:left="425" w:leftChars="0" w:hanging="425" w:firstLineChars="0"/>
        <w:jc w:val="left"/>
        <w:rPr>
          <w:rFonts w:hint="eastAsia" w:ascii="宋体" w:hAnsi="宋体" w:eastAsia="宋体"/>
          <w:b w:val="0"/>
          <w:bCs w:val="0"/>
          <w:sz w:val="24"/>
          <w:szCs w:val="24"/>
        </w:rPr>
      </w:pPr>
      <w:r>
        <w:rPr>
          <w:rFonts w:hint="eastAsia" w:ascii="宋体" w:hAnsi="宋体" w:eastAsia="宋体" w:cs="宋体"/>
          <w:sz w:val="24"/>
          <w:szCs w:val="24"/>
        </w:rPr>
        <w:t>配套耗材：能提供原厂清洗液、发光底物液、反应杯等</w:t>
      </w:r>
      <w:r>
        <w:rPr>
          <w:rFonts w:hint="eastAsia" w:ascii="宋体" w:hAnsi="宋体" w:eastAsia="宋体" w:cs="宋体"/>
          <w:sz w:val="24"/>
          <w:szCs w:val="24"/>
          <w:lang w:eastAsia="zh-CN"/>
        </w:rPr>
        <w:t>。</w:t>
      </w:r>
    </w:p>
    <w:p w14:paraId="14EB422C">
      <w:pPr>
        <w:widowControl/>
        <w:numPr>
          <w:ilvl w:val="0"/>
          <w:numId w:val="17"/>
        </w:numPr>
        <w:spacing w:line="360" w:lineRule="auto"/>
        <w:ind w:left="425" w:leftChars="0" w:hanging="425" w:firstLineChars="0"/>
        <w:jc w:val="left"/>
        <w:rPr>
          <w:rFonts w:hint="eastAsia" w:ascii="宋体" w:hAnsi="宋体" w:eastAsia="宋体"/>
          <w:b w:val="0"/>
          <w:bCs w:val="0"/>
          <w:sz w:val="24"/>
          <w:szCs w:val="24"/>
        </w:rPr>
      </w:pPr>
      <w:r>
        <w:rPr>
          <w:rFonts w:hint="eastAsia" w:ascii="宋体" w:hAnsi="宋体" w:eastAsia="宋体" w:cs="宋体"/>
          <w:sz w:val="24"/>
          <w:szCs w:val="24"/>
        </w:rPr>
        <w:t>具备冷链运输条件</w:t>
      </w:r>
      <w:r>
        <w:rPr>
          <w:rFonts w:hint="eastAsia" w:ascii="宋体" w:hAnsi="宋体" w:eastAsia="宋体" w:cs="宋体"/>
          <w:sz w:val="24"/>
          <w:szCs w:val="24"/>
          <w:lang w:eastAsia="zh-CN"/>
        </w:rPr>
        <w:t>。</w:t>
      </w:r>
    </w:p>
    <w:p w14:paraId="032F9296">
      <w:pPr>
        <w:widowControl/>
        <w:numPr>
          <w:ilvl w:val="0"/>
          <w:numId w:val="17"/>
        </w:numPr>
        <w:spacing w:line="360" w:lineRule="auto"/>
        <w:ind w:left="425" w:leftChars="0" w:hanging="425" w:firstLineChars="0"/>
        <w:jc w:val="left"/>
        <w:rPr>
          <w:rFonts w:hint="eastAsia" w:ascii="宋体" w:hAnsi="宋体" w:eastAsia="宋体"/>
          <w:b w:val="0"/>
          <w:bCs w:val="0"/>
          <w:sz w:val="24"/>
          <w:szCs w:val="24"/>
        </w:rPr>
      </w:pPr>
      <w:r>
        <w:rPr>
          <w:rFonts w:hint="eastAsia" w:ascii="宋体" w:hAnsi="宋体" w:eastAsia="宋体"/>
          <w:b w:val="0"/>
          <w:bCs w:val="0"/>
          <w:sz w:val="24"/>
          <w:szCs w:val="24"/>
        </w:rPr>
        <w:t>★</w:t>
      </w:r>
      <w:r>
        <w:rPr>
          <w:rFonts w:hint="eastAsia" w:ascii="宋体" w:hAnsi="宋体" w:eastAsia="宋体" w:cs="宋体"/>
          <w:sz w:val="24"/>
          <w:szCs w:val="24"/>
          <w:highlight w:val="none"/>
          <w:lang w:val="en-US" w:eastAsia="zh-CN"/>
        </w:rPr>
        <w:t>投标人需响应医院SPD项目相关要求，并与上药医疗供应链管理（上海）有限公司签署相关SPD协议。</w:t>
      </w:r>
    </w:p>
    <w:p w14:paraId="3D3335B8">
      <w:pPr>
        <w:widowControl/>
        <w:numPr>
          <w:ilvl w:val="0"/>
          <w:numId w:val="0"/>
        </w:numPr>
        <w:spacing w:line="360" w:lineRule="auto"/>
        <w:ind w:leftChars="0"/>
        <w:jc w:val="left"/>
        <w:rPr>
          <w:rFonts w:hint="eastAsia" w:ascii="宋体" w:hAnsi="宋体" w:eastAsia="宋体" w:cs="宋体"/>
          <w:sz w:val="24"/>
          <w:szCs w:val="24"/>
          <w:highlight w:val="none"/>
          <w:lang w:val="en-US" w:eastAsia="zh-CN"/>
        </w:rPr>
      </w:pPr>
    </w:p>
    <w:p w14:paraId="52DC37D7">
      <w:pPr>
        <w:widowControl/>
        <w:numPr>
          <w:ilvl w:val="0"/>
          <w:numId w:val="0"/>
        </w:numPr>
        <w:spacing w:line="360" w:lineRule="auto"/>
        <w:ind w:leftChars="0"/>
        <w:jc w:val="left"/>
        <w:rPr>
          <w:rFonts w:hint="eastAsia" w:ascii="宋体" w:hAnsi="宋体" w:eastAsia="宋体" w:cs="宋体"/>
          <w:sz w:val="24"/>
          <w:szCs w:val="24"/>
          <w:highlight w:val="none"/>
          <w:lang w:val="en-US" w:eastAsia="zh-CN"/>
        </w:rPr>
      </w:pPr>
    </w:p>
    <w:p w14:paraId="637C4B6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包件七：</w:t>
      </w:r>
    </w:p>
    <w:p w14:paraId="4963A46F">
      <w:pPr>
        <w:pStyle w:val="54"/>
        <w:numPr>
          <w:ilvl w:val="0"/>
          <w:numId w:val="1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sz w:val="24"/>
          <w:szCs w:val="24"/>
        </w:rPr>
        <w:t>碳青霉烯酶分型检测</w:t>
      </w:r>
    </w:p>
    <w:p w14:paraId="2C07E60F">
      <w:pPr>
        <w:pStyle w:val="54"/>
        <w:numPr>
          <w:ilvl w:val="0"/>
          <w:numId w:val="1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37CB018E">
      <w:pPr>
        <w:pStyle w:val="54"/>
        <w:numPr>
          <w:ilvl w:val="0"/>
          <w:numId w:val="1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47BF5EEF">
      <w:pPr>
        <w:pStyle w:val="54"/>
        <w:numPr>
          <w:ilvl w:val="0"/>
          <w:numId w:val="18"/>
        </w:numPr>
        <w:spacing w:line="360" w:lineRule="auto"/>
        <w:ind w:left="-420" w:leftChars="0" w:firstLine="420" w:firstLineChars="0"/>
        <w:rPr>
          <w:rFonts w:hint="eastAsia" w:ascii="宋体" w:hAnsi="宋体" w:eastAsia="宋体" w:cs="宋体"/>
          <w:sz w:val="24"/>
          <w:szCs w:val="24"/>
          <w:highlight w:val="none"/>
          <w:lang w:val="en-US"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1B1D2BC9">
      <w:pPr>
        <w:pStyle w:val="54"/>
        <w:numPr>
          <w:ilvl w:val="0"/>
          <w:numId w:val="18"/>
        </w:numPr>
        <w:spacing w:line="360" w:lineRule="auto"/>
        <w:ind w:left="-420" w:leftChars="0" w:firstLine="420" w:firstLineChars="0"/>
        <w:rPr>
          <w:rFonts w:hint="eastAsia" w:ascii="宋体" w:hAnsi="宋体" w:eastAsia="宋体" w:cs="宋体"/>
          <w:sz w:val="24"/>
          <w:szCs w:val="24"/>
          <w:highlight w:val="none"/>
          <w:lang w:val="en-US" w:eastAsia="zh-CN"/>
        </w:rPr>
      </w:pPr>
      <w:r>
        <w:rPr>
          <w:rFonts w:hint="eastAsia" w:ascii="宋体" w:hAnsi="宋体" w:eastAsia="宋体"/>
          <w:b w:val="0"/>
          <w:bCs w:val="0"/>
          <w:sz w:val="24"/>
          <w:szCs w:val="24"/>
        </w:rPr>
        <w:t>技术指标要求</w:t>
      </w:r>
    </w:p>
    <w:p w14:paraId="74E330C9">
      <w:pPr>
        <w:numPr>
          <w:ilvl w:val="0"/>
          <w:numId w:val="1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样本类型：痰液、粪便、尿液、直肠拭子、胸腹水、血液等经富集或培养后得到的细菌菌落</w:t>
      </w:r>
      <w:r>
        <w:rPr>
          <w:rFonts w:hint="eastAsia" w:ascii="宋体" w:hAnsi="宋体" w:eastAsia="宋体" w:cs="宋体"/>
          <w:b w:val="0"/>
          <w:bCs w:val="0"/>
          <w:sz w:val="24"/>
          <w:szCs w:val="24"/>
          <w:lang w:eastAsia="zh-CN"/>
        </w:rPr>
        <w:t>。</w:t>
      </w:r>
    </w:p>
    <w:p w14:paraId="053E54B7">
      <w:pPr>
        <w:numPr>
          <w:ilvl w:val="0"/>
          <w:numId w:val="1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无需搭配仪器，胶体金产品，即时检测</w:t>
      </w:r>
      <w:r>
        <w:rPr>
          <w:rFonts w:hint="eastAsia" w:ascii="宋体" w:hAnsi="宋体" w:eastAsia="宋体" w:cs="宋体"/>
          <w:b w:val="0"/>
          <w:bCs w:val="0"/>
          <w:sz w:val="24"/>
          <w:szCs w:val="24"/>
          <w:lang w:eastAsia="zh-CN"/>
        </w:rPr>
        <w:t>。</w:t>
      </w:r>
    </w:p>
    <w:p w14:paraId="0B855966">
      <w:pPr>
        <w:numPr>
          <w:ilvl w:val="0"/>
          <w:numId w:val="19"/>
        </w:numPr>
        <w:spacing w:line="360" w:lineRule="auto"/>
        <w:ind w:left="425" w:leftChars="0" w:hanging="425" w:firstLineChars="0"/>
        <w:rPr>
          <w:rStyle w:val="211"/>
          <w:rFonts w:hint="eastAsia" w:ascii="宋体" w:hAnsi="宋体" w:eastAsia="宋体" w:cs="宋体"/>
          <w:b w:val="0"/>
          <w:bCs w:val="0"/>
          <w:sz w:val="24"/>
          <w:szCs w:val="24"/>
        </w:rPr>
      </w:pPr>
      <w:r>
        <w:rPr>
          <w:rFonts w:hint="eastAsia" w:ascii="宋体" w:hAnsi="宋体" w:eastAsia="宋体" w:cs="宋体"/>
          <w:b w:val="0"/>
          <w:bCs w:val="0"/>
          <w:sz w:val="24"/>
          <w:szCs w:val="24"/>
        </w:rPr>
        <w:t>检测指标：</w:t>
      </w:r>
      <w:r>
        <w:rPr>
          <w:rStyle w:val="211"/>
          <w:rFonts w:hint="eastAsia" w:ascii="宋体" w:hAnsi="宋体" w:eastAsia="宋体" w:cs="宋体"/>
          <w:b w:val="0"/>
          <w:bCs w:val="0"/>
          <w:sz w:val="24"/>
          <w:szCs w:val="24"/>
        </w:rPr>
        <w:t xml:space="preserve">细菌样本中的 </w:t>
      </w:r>
      <w:r>
        <w:rPr>
          <w:rStyle w:val="212"/>
          <w:rFonts w:hint="eastAsia" w:ascii="宋体" w:hAnsi="宋体" w:eastAsia="宋体" w:cs="宋体"/>
          <w:b w:val="0"/>
          <w:bCs w:val="0"/>
          <w:sz w:val="24"/>
          <w:szCs w:val="24"/>
        </w:rPr>
        <w:t>KPC</w:t>
      </w:r>
      <w:r>
        <w:rPr>
          <w:rStyle w:val="211"/>
          <w:rFonts w:hint="eastAsia" w:ascii="宋体" w:hAnsi="宋体" w:eastAsia="宋体" w:cs="宋体"/>
          <w:b w:val="0"/>
          <w:bCs w:val="0"/>
          <w:sz w:val="24"/>
          <w:szCs w:val="24"/>
        </w:rPr>
        <w:t xml:space="preserve">、 </w:t>
      </w:r>
      <w:r>
        <w:rPr>
          <w:rStyle w:val="212"/>
          <w:rFonts w:hint="eastAsia" w:ascii="宋体" w:hAnsi="宋体" w:eastAsia="宋体" w:cs="宋体"/>
          <w:b w:val="0"/>
          <w:bCs w:val="0"/>
          <w:sz w:val="24"/>
          <w:szCs w:val="24"/>
        </w:rPr>
        <w:t>OXA-48</w:t>
      </w:r>
      <w:r>
        <w:rPr>
          <w:rStyle w:val="211"/>
          <w:rFonts w:hint="eastAsia" w:ascii="宋体" w:hAnsi="宋体" w:eastAsia="宋体" w:cs="宋体"/>
          <w:b w:val="0"/>
          <w:bCs w:val="0"/>
          <w:sz w:val="24"/>
          <w:szCs w:val="24"/>
        </w:rPr>
        <w:t xml:space="preserve">、 </w:t>
      </w:r>
      <w:r>
        <w:rPr>
          <w:rStyle w:val="212"/>
          <w:rFonts w:hint="eastAsia" w:ascii="宋体" w:hAnsi="宋体" w:eastAsia="宋体" w:cs="宋体"/>
          <w:b w:val="0"/>
          <w:bCs w:val="0"/>
          <w:sz w:val="24"/>
          <w:szCs w:val="24"/>
        </w:rPr>
        <w:t>VIM</w:t>
      </w:r>
      <w:r>
        <w:rPr>
          <w:rStyle w:val="211"/>
          <w:rFonts w:hint="eastAsia" w:ascii="宋体" w:hAnsi="宋体" w:eastAsia="宋体" w:cs="宋体"/>
          <w:b w:val="0"/>
          <w:bCs w:val="0"/>
          <w:sz w:val="24"/>
          <w:szCs w:val="24"/>
        </w:rPr>
        <w:t xml:space="preserve">、 </w:t>
      </w:r>
      <w:r>
        <w:rPr>
          <w:rStyle w:val="212"/>
          <w:rFonts w:hint="eastAsia" w:ascii="宋体" w:hAnsi="宋体" w:eastAsia="宋体" w:cs="宋体"/>
          <w:b w:val="0"/>
          <w:bCs w:val="0"/>
          <w:sz w:val="24"/>
          <w:szCs w:val="24"/>
        </w:rPr>
        <w:t xml:space="preserve">IMP </w:t>
      </w:r>
      <w:r>
        <w:rPr>
          <w:rStyle w:val="211"/>
          <w:rFonts w:hint="eastAsia" w:ascii="宋体" w:hAnsi="宋体" w:eastAsia="宋体" w:cs="宋体"/>
          <w:b w:val="0"/>
          <w:bCs w:val="0"/>
          <w:sz w:val="24"/>
          <w:szCs w:val="24"/>
        </w:rPr>
        <w:t xml:space="preserve">和 </w:t>
      </w:r>
      <w:r>
        <w:rPr>
          <w:rStyle w:val="212"/>
          <w:rFonts w:hint="eastAsia" w:ascii="宋体" w:hAnsi="宋体" w:eastAsia="宋体" w:cs="宋体"/>
          <w:b w:val="0"/>
          <w:bCs w:val="0"/>
          <w:sz w:val="24"/>
          <w:szCs w:val="24"/>
        </w:rPr>
        <w:t xml:space="preserve">NDM </w:t>
      </w:r>
      <w:r>
        <w:rPr>
          <w:rStyle w:val="211"/>
          <w:rFonts w:hint="eastAsia" w:ascii="宋体" w:hAnsi="宋体" w:eastAsia="宋体" w:cs="宋体"/>
          <w:b w:val="0"/>
          <w:bCs w:val="0"/>
          <w:sz w:val="24"/>
          <w:szCs w:val="24"/>
        </w:rPr>
        <w:t xml:space="preserve">型碳青霉烯酶的体外定性检测， 快速检测细菌样本中是否存在 </w:t>
      </w:r>
      <w:r>
        <w:rPr>
          <w:rStyle w:val="212"/>
          <w:rFonts w:hint="eastAsia" w:ascii="宋体" w:hAnsi="宋体" w:eastAsia="宋体" w:cs="宋体"/>
          <w:b w:val="0"/>
          <w:bCs w:val="0"/>
          <w:sz w:val="24"/>
          <w:szCs w:val="24"/>
        </w:rPr>
        <w:t xml:space="preserve">5 </w:t>
      </w:r>
      <w:r>
        <w:rPr>
          <w:rStyle w:val="211"/>
          <w:rFonts w:hint="eastAsia" w:ascii="宋体" w:hAnsi="宋体" w:eastAsia="宋体" w:cs="宋体"/>
          <w:b w:val="0"/>
          <w:bCs w:val="0"/>
          <w:sz w:val="24"/>
          <w:szCs w:val="24"/>
        </w:rPr>
        <w:t>种碳青霉烯酶中的一种或几种</w:t>
      </w:r>
      <w:r>
        <w:rPr>
          <w:rStyle w:val="211"/>
          <w:rFonts w:hint="eastAsia" w:ascii="宋体" w:hAnsi="宋体" w:eastAsia="宋体" w:cs="宋体"/>
          <w:b w:val="0"/>
          <w:bCs w:val="0"/>
          <w:sz w:val="24"/>
          <w:szCs w:val="24"/>
          <w:lang w:eastAsia="zh-CN"/>
        </w:rPr>
        <w:t>。</w:t>
      </w:r>
    </w:p>
    <w:p w14:paraId="7BB4B55D">
      <w:pPr>
        <w:numPr>
          <w:ilvl w:val="0"/>
          <w:numId w:val="19"/>
        </w:numPr>
        <w:spacing w:line="360" w:lineRule="auto"/>
        <w:ind w:left="425" w:leftChars="0" w:hanging="425" w:firstLineChars="0"/>
        <w:rPr>
          <w:rStyle w:val="211"/>
          <w:rFonts w:hint="eastAsia" w:ascii="宋体" w:hAnsi="宋体" w:eastAsia="宋体" w:cs="宋体"/>
          <w:b w:val="0"/>
          <w:bCs w:val="0"/>
          <w:sz w:val="24"/>
          <w:szCs w:val="24"/>
        </w:rPr>
      </w:pPr>
      <w:r>
        <w:rPr>
          <w:rStyle w:val="211"/>
          <w:rFonts w:hint="eastAsia" w:ascii="宋体" w:hAnsi="宋体" w:eastAsia="宋体" w:cs="宋体"/>
          <w:b w:val="0"/>
          <w:bCs w:val="0"/>
          <w:sz w:val="24"/>
          <w:szCs w:val="24"/>
        </w:rPr>
        <w:t>一致性：≥99%</w:t>
      </w:r>
      <w:r>
        <w:rPr>
          <w:rStyle w:val="211"/>
          <w:rFonts w:hint="eastAsia" w:ascii="宋体" w:hAnsi="宋体" w:eastAsia="宋体" w:cs="宋体"/>
          <w:b w:val="0"/>
          <w:bCs w:val="0"/>
          <w:sz w:val="24"/>
          <w:szCs w:val="24"/>
          <w:lang w:eastAsia="zh-CN"/>
        </w:rPr>
        <w:t>。</w:t>
      </w:r>
    </w:p>
    <w:p w14:paraId="6A2AAE87">
      <w:pPr>
        <w:numPr>
          <w:ilvl w:val="0"/>
          <w:numId w:val="19"/>
        </w:numPr>
        <w:spacing w:line="360" w:lineRule="auto"/>
        <w:ind w:left="425" w:leftChars="0" w:hanging="425" w:firstLineChars="0"/>
        <w:rPr>
          <w:rStyle w:val="211"/>
          <w:rFonts w:hint="eastAsia" w:ascii="宋体" w:hAnsi="宋体" w:eastAsia="宋体" w:cs="宋体"/>
          <w:b w:val="0"/>
          <w:bCs w:val="0"/>
          <w:sz w:val="24"/>
          <w:szCs w:val="24"/>
        </w:rPr>
      </w:pPr>
      <w:r>
        <w:rPr>
          <w:rStyle w:val="211"/>
          <w:rFonts w:hint="eastAsia" w:ascii="宋体" w:hAnsi="宋体" w:eastAsia="宋体" w:cs="宋体"/>
          <w:b w:val="0"/>
          <w:bCs w:val="0"/>
          <w:sz w:val="24"/>
          <w:szCs w:val="24"/>
        </w:rPr>
        <w:t xml:space="preserve">稳定性：试剂可储存在 </w:t>
      </w:r>
      <w:r>
        <w:rPr>
          <w:rStyle w:val="212"/>
          <w:rFonts w:hint="eastAsia" w:ascii="宋体" w:hAnsi="宋体" w:eastAsia="宋体" w:cs="宋体"/>
          <w:b w:val="0"/>
          <w:bCs w:val="0"/>
          <w:sz w:val="24"/>
          <w:szCs w:val="24"/>
        </w:rPr>
        <w:t>4-30℃</w:t>
      </w:r>
      <w:r>
        <w:rPr>
          <w:rStyle w:val="211"/>
          <w:rFonts w:hint="eastAsia" w:ascii="宋体" w:hAnsi="宋体" w:eastAsia="宋体" w:cs="宋体"/>
          <w:b w:val="0"/>
          <w:bCs w:val="0"/>
          <w:sz w:val="24"/>
          <w:szCs w:val="24"/>
        </w:rPr>
        <w:t>密封条件</w:t>
      </w:r>
      <w:r>
        <w:rPr>
          <w:rStyle w:val="211"/>
          <w:rFonts w:hint="eastAsia" w:ascii="宋体" w:hAnsi="宋体" w:eastAsia="宋体" w:cs="宋体"/>
          <w:b w:val="0"/>
          <w:bCs w:val="0"/>
          <w:sz w:val="24"/>
          <w:szCs w:val="24"/>
          <w:lang w:eastAsia="zh-CN"/>
        </w:rPr>
        <w:t>。</w:t>
      </w:r>
    </w:p>
    <w:p w14:paraId="2FD4DB2C">
      <w:pPr>
        <w:numPr>
          <w:ilvl w:val="0"/>
          <w:numId w:val="1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b w:val="0"/>
          <w:bCs w:val="0"/>
          <w:sz w:val="24"/>
          <w:szCs w:val="24"/>
        </w:rPr>
        <w:t>★</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14:paraId="228664A7">
      <w:pPr>
        <w:pStyle w:val="54"/>
        <w:numPr>
          <w:ilvl w:val="0"/>
          <w:numId w:val="0"/>
        </w:numPr>
        <w:spacing w:line="360" w:lineRule="auto"/>
        <w:ind w:leftChars="0"/>
        <w:rPr>
          <w:rFonts w:hint="eastAsia" w:ascii="宋体" w:hAnsi="宋体" w:eastAsia="宋体" w:cs="宋体"/>
          <w:sz w:val="24"/>
          <w:szCs w:val="24"/>
          <w:highlight w:val="none"/>
          <w:lang w:val="en-US" w:eastAsia="zh-CN"/>
        </w:rPr>
      </w:pPr>
    </w:p>
    <w:p w14:paraId="4B14BDE6">
      <w:pPr>
        <w:numPr>
          <w:ilvl w:val="0"/>
          <w:numId w:val="0"/>
        </w:numPr>
        <w:spacing w:line="360" w:lineRule="auto"/>
        <w:ind w:leftChars="0"/>
        <w:rPr>
          <w:rFonts w:hint="eastAsia" w:ascii="宋体" w:hAnsi="宋体" w:eastAsia="宋体"/>
          <w:b w:val="0"/>
          <w:bCs w:val="0"/>
          <w:sz w:val="24"/>
          <w:szCs w:val="24"/>
          <w:lang w:val="en-US" w:eastAsia="zh-CN"/>
        </w:rPr>
      </w:pPr>
    </w:p>
    <w:p w14:paraId="2D56EAF5">
      <w:pPr>
        <w:numPr>
          <w:ilvl w:val="0"/>
          <w:numId w:val="0"/>
        </w:numPr>
        <w:spacing w:line="360" w:lineRule="auto"/>
        <w:ind w:leftChars="0"/>
        <w:rPr>
          <w:rFonts w:hint="eastAsia" w:ascii="宋体" w:hAnsi="宋体" w:eastAsia="宋体"/>
          <w:b w:val="0"/>
          <w:bCs w:val="0"/>
          <w:sz w:val="24"/>
          <w:szCs w:val="24"/>
          <w:lang w:val="en-US" w:eastAsia="zh-CN"/>
        </w:rPr>
      </w:pPr>
    </w:p>
    <w:p w14:paraId="68459F9B">
      <w:pPr>
        <w:numPr>
          <w:ilvl w:val="0"/>
          <w:numId w:val="0"/>
        </w:numPr>
        <w:spacing w:line="360" w:lineRule="auto"/>
        <w:ind w:leftChars="0"/>
        <w:rPr>
          <w:rFonts w:hint="eastAsia" w:ascii="宋体" w:hAnsi="宋体" w:eastAsia="宋体"/>
          <w:b w:val="0"/>
          <w:bCs w:val="0"/>
          <w:sz w:val="24"/>
          <w:szCs w:val="24"/>
          <w:lang w:val="en-US" w:eastAsia="zh-CN"/>
        </w:rPr>
      </w:pPr>
    </w:p>
    <w:p w14:paraId="29D62D97">
      <w:pPr>
        <w:numPr>
          <w:ilvl w:val="0"/>
          <w:numId w:val="0"/>
        </w:numPr>
        <w:spacing w:line="360" w:lineRule="auto"/>
        <w:ind w:leftChars="0"/>
        <w:rPr>
          <w:rFonts w:hint="eastAsia" w:ascii="宋体" w:hAnsi="宋体" w:eastAsia="宋体"/>
          <w:b w:val="0"/>
          <w:bCs w:val="0"/>
          <w:sz w:val="24"/>
          <w:szCs w:val="24"/>
          <w:lang w:val="en-US" w:eastAsia="zh-CN"/>
        </w:rPr>
      </w:pPr>
    </w:p>
    <w:p w14:paraId="095F579E">
      <w:pPr>
        <w:numPr>
          <w:ilvl w:val="0"/>
          <w:numId w:val="0"/>
        </w:numPr>
        <w:spacing w:line="360" w:lineRule="auto"/>
        <w:ind w:leftChars="0"/>
        <w:rPr>
          <w:rFonts w:hint="eastAsia" w:ascii="宋体" w:hAnsi="宋体" w:eastAsia="宋体"/>
          <w:b w:val="0"/>
          <w:bCs w:val="0"/>
          <w:sz w:val="24"/>
          <w:szCs w:val="24"/>
          <w:lang w:val="en-US" w:eastAsia="zh-CN"/>
        </w:rPr>
      </w:pPr>
    </w:p>
    <w:p w14:paraId="2F6878EC">
      <w:pPr>
        <w:numPr>
          <w:ilvl w:val="0"/>
          <w:numId w:val="0"/>
        </w:numPr>
        <w:spacing w:line="360" w:lineRule="auto"/>
        <w:ind w:leftChars="0"/>
        <w:rPr>
          <w:rFonts w:hint="eastAsia" w:ascii="宋体" w:hAnsi="宋体" w:eastAsia="宋体"/>
          <w:b w:val="0"/>
          <w:bCs w:val="0"/>
          <w:sz w:val="24"/>
          <w:szCs w:val="24"/>
          <w:lang w:val="en-US" w:eastAsia="zh-CN"/>
        </w:rPr>
      </w:pPr>
    </w:p>
    <w:p w14:paraId="17980E89">
      <w:pPr>
        <w:numPr>
          <w:ilvl w:val="0"/>
          <w:numId w:val="0"/>
        </w:numPr>
        <w:spacing w:line="360" w:lineRule="auto"/>
        <w:ind w:leftChars="0"/>
        <w:rPr>
          <w:rFonts w:hint="eastAsia" w:ascii="宋体" w:hAnsi="宋体" w:eastAsia="宋体"/>
          <w:b w:val="0"/>
          <w:bCs w:val="0"/>
          <w:sz w:val="24"/>
          <w:szCs w:val="24"/>
          <w:lang w:val="en-US" w:eastAsia="zh-CN"/>
        </w:rPr>
      </w:pPr>
    </w:p>
    <w:p w14:paraId="500C9F0E">
      <w:pPr>
        <w:numPr>
          <w:ilvl w:val="0"/>
          <w:numId w:val="0"/>
        </w:numPr>
        <w:spacing w:line="360" w:lineRule="auto"/>
        <w:ind w:leftChars="0"/>
        <w:rPr>
          <w:rFonts w:hint="eastAsia" w:ascii="宋体" w:hAnsi="宋体" w:eastAsia="宋体"/>
          <w:b w:val="0"/>
          <w:bCs w:val="0"/>
          <w:sz w:val="24"/>
          <w:szCs w:val="24"/>
          <w:lang w:val="en-US" w:eastAsia="zh-CN"/>
        </w:rPr>
      </w:pPr>
    </w:p>
    <w:p w14:paraId="4D48E8D2">
      <w:pPr>
        <w:numPr>
          <w:ilvl w:val="0"/>
          <w:numId w:val="0"/>
        </w:numPr>
        <w:spacing w:line="360" w:lineRule="auto"/>
        <w:ind w:leftChars="0"/>
        <w:rPr>
          <w:rFonts w:hint="eastAsia" w:ascii="宋体" w:hAnsi="宋体" w:eastAsia="宋体"/>
          <w:b w:val="0"/>
          <w:bCs w:val="0"/>
          <w:sz w:val="24"/>
          <w:szCs w:val="24"/>
          <w:lang w:val="en-US" w:eastAsia="zh-CN"/>
        </w:rPr>
      </w:pPr>
    </w:p>
    <w:p w14:paraId="0B853CCE">
      <w:pPr>
        <w:numPr>
          <w:ilvl w:val="0"/>
          <w:numId w:val="0"/>
        </w:numPr>
        <w:spacing w:line="360" w:lineRule="auto"/>
        <w:ind w:leftChars="0"/>
        <w:rPr>
          <w:rFonts w:hint="eastAsia" w:ascii="宋体" w:hAnsi="宋体" w:eastAsia="宋体"/>
          <w:b w:val="0"/>
          <w:bCs w:val="0"/>
          <w:sz w:val="24"/>
          <w:szCs w:val="24"/>
          <w:lang w:val="en-US" w:eastAsia="zh-CN"/>
        </w:rPr>
      </w:pPr>
    </w:p>
    <w:p w14:paraId="19A5F816">
      <w:pPr>
        <w:numPr>
          <w:ilvl w:val="0"/>
          <w:numId w:val="0"/>
        </w:numPr>
        <w:spacing w:line="360" w:lineRule="auto"/>
        <w:ind w:leftChars="0"/>
        <w:rPr>
          <w:rFonts w:hint="eastAsia" w:ascii="宋体" w:hAnsi="宋体" w:eastAsia="宋体"/>
          <w:b w:val="0"/>
          <w:bCs w:val="0"/>
          <w:sz w:val="24"/>
          <w:szCs w:val="24"/>
          <w:lang w:val="en-US" w:eastAsia="zh-CN"/>
        </w:rPr>
      </w:pPr>
    </w:p>
    <w:p w14:paraId="33413EDB">
      <w:pPr>
        <w:numPr>
          <w:ilvl w:val="0"/>
          <w:numId w:val="0"/>
        </w:numPr>
        <w:spacing w:line="360" w:lineRule="auto"/>
        <w:ind w:leftChars="0"/>
        <w:rPr>
          <w:rFonts w:hint="eastAsia" w:ascii="宋体" w:hAnsi="宋体" w:eastAsia="宋体"/>
          <w:b w:val="0"/>
          <w:bCs w:val="0"/>
          <w:sz w:val="24"/>
          <w:szCs w:val="24"/>
          <w:lang w:val="en-US" w:eastAsia="zh-CN"/>
        </w:rPr>
      </w:pPr>
    </w:p>
    <w:p w14:paraId="19D41CFC">
      <w:pPr>
        <w:numPr>
          <w:ilvl w:val="0"/>
          <w:numId w:val="0"/>
        </w:numPr>
        <w:spacing w:line="360" w:lineRule="auto"/>
        <w:ind w:leftChars="0"/>
        <w:rPr>
          <w:rFonts w:hint="eastAsia" w:ascii="宋体" w:hAnsi="宋体" w:eastAsia="宋体"/>
          <w:b w:val="0"/>
          <w:bCs w:val="0"/>
          <w:sz w:val="24"/>
          <w:szCs w:val="24"/>
          <w:lang w:val="en-US" w:eastAsia="zh-CN"/>
        </w:rPr>
      </w:pPr>
    </w:p>
    <w:p w14:paraId="085C7162">
      <w:pPr>
        <w:numPr>
          <w:ilvl w:val="0"/>
          <w:numId w:val="0"/>
        </w:numPr>
        <w:spacing w:line="360" w:lineRule="auto"/>
        <w:ind w:leftChars="0"/>
        <w:rPr>
          <w:rFonts w:hint="eastAsia" w:ascii="宋体" w:hAnsi="宋体" w:eastAsia="宋体"/>
          <w:b w:val="0"/>
          <w:bCs w:val="0"/>
          <w:sz w:val="24"/>
          <w:szCs w:val="24"/>
          <w:lang w:val="en-US" w:eastAsia="zh-CN"/>
        </w:rPr>
      </w:pPr>
    </w:p>
    <w:p w14:paraId="3A977EC7">
      <w:pPr>
        <w:numPr>
          <w:ilvl w:val="0"/>
          <w:numId w:val="0"/>
        </w:numPr>
        <w:spacing w:line="360" w:lineRule="auto"/>
        <w:ind w:leftChars="0"/>
        <w:rPr>
          <w:rFonts w:hint="eastAsia" w:ascii="宋体" w:hAnsi="宋体" w:eastAsia="宋体"/>
          <w:b w:val="0"/>
          <w:bCs w:val="0"/>
          <w:sz w:val="24"/>
          <w:szCs w:val="24"/>
          <w:lang w:val="en-US" w:eastAsia="zh-CN"/>
        </w:rPr>
      </w:pPr>
    </w:p>
    <w:p w14:paraId="36147685">
      <w:pPr>
        <w:numPr>
          <w:ilvl w:val="0"/>
          <w:numId w:val="0"/>
        </w:numPr>
        <w:spacing w:line="360" w:lineRule="auto"/>
        <w:ind w:leftChars="0"/>
        <w:rPr>
          <w:rFonts w:hint="eastAsia" w:ascii="宋体" w:hAnsi="宋体" w:eastAsia="宋体"/>
          <w:b w:val="0"/>
          <w:bCs w:val="0"/>
          <w:sz w:val="24"/>
          <w:szCs w:val="24"/>
          <w:lang w:val="en-US" w:eastAsia="zh-CN"/>
        </w:rPr>
      </w:pPr>
    </w:p>
    <w:p w14:paraId="5C55D50B">
      <w:pPr>
        <w:numPr>
          <w:ilvl w:val="0"/>
          <w:numId w:val="0"/>
        </w:numPr>
        <w:spacing w:line="360" w:lineRule="auto"/>
        <w:ind w:leftChars="0"/>
        <w:rPr>
          <w:rFonts w:hint="eastAsia" w:ascii="宋体" w:hAnsi="宋体" w:eastAsia="宋体"/>
          <w:b w:val="0"/>
          <w:bCs w:val="0"/>
          <w:sz w:val="24"/>
          <w:szCs w:val="24"/>
          <w:lang w:val="en-US" w:eastAsia="zh-CN"/>
        </w:rPr>
      </w:pPr>
    </w:p>
    <w:p w14:paraId="78C665D1">
      <w:pPr>
        <w:numPr>
          <w:ilvl w:val="0"/>
          <w:numId w:val="0"/>
        </w:numPr>
        <w:spacing w:line="360" w:lineRule="auto"/>
        <w:ind w:leftChars="0"/>
        <w:rPr>
          <w:rFonts w:hint="eastAsia" w:ascii="宋体" w:hAnsi="宋体" w:eastAsia="宋体"/>
          <w:b w:val="0"/>
          <w:bCs w:val="0"/>
          <w:sz w:val="24"/>
          <w:szCs w:val="24"/>
          <w:lang w:val="en-US" w:eastAsia="zh-CN"/>
        </w:rPr>
      </w:pPr>
    </w:p>
    <w:p w14:paraId="5A1C33DA">
      <w:pPr>
        <w:numPr>
          <w:ilvl w:val="0"/>
          <w:numId w:val="0"/>
        </w:numPr>
        <w:spacing w:line="360" w:lineRule="auto"/>
        <w:ind w:leftChars="0"/>
        <w:rPr>
          <w:rFonts w:hint="eastAsia" w:ascii="宋体" w:hAnsi="宋体" w:eastAsia="宋体"/>
          <w:b w:val="0"/>
          <w:bCs w:val="0"/>
          <w:sz w:val="24"/>
          <w:szCs w:val="24"/>
          <w:lang w:val="en-US" w:eastAsia="zh-CN"/>
        </w:rPr>
      </w:pPr>
    </w:p>
    <w:p w14:paraId="32B2607B">
      <w:pPr>
        <w:numPr>
          <w:ilvl w:val="0"/>
          <w:numId w:val="0"/>
        </w:numPr>
        <w:spacing w:line="360" w:lineRule="auto"/>
        <w:ind w:leftChars="0"/>
        <w:rPr>
          <w:rFonts w:hint="eastAsia" w:ascii="宋体" w:hAnsi="宋体" w:eastAsia="宋体"/>
          <w:b w:val="0"/>
          <w:bCs w:val="0"/>
          <w:sz w:val="24"/>
          <w:szCs w:val="24"/>
          <w:lang w:val="en-US" w:eastAsia="zh-CN"/>
        </w:rPr>
      </w:pPr>
    </w:p>
    <w:p w14:paraId="157D6B25">
      <w:pPr>
        <w:numPr>
          <w:ilvl w:val="0"/>
          <w:numId w:val="0"/>
        </w:numPr>
        <w:spacing w:line="360" w:lineRule="auto"/>
        <w:ind w:leftChars="0"/>
        <w:rPr>
          <w:rFonts w:hint="eastAsia" w:ascii="宋体" w:hAnsi="宋体" w:eastAsia="宋体"/>
          <w:b w:val="0"/>
          <w:bCs w:val="0"/>
          <w:sz w:val="24"/>
          <w:szCs w:val="24"/>
          <w:lang w:val="en-US" w:eastAsia="zh-CN"/>
        </w:rPr>
      </w:pPr>
    </w:p>
    <w:p w14:paraId="31431B25">
      <w:pPr>
        <w:numPr>
          <w:ilvl w:val="0"/>
          <w:numId w:val="0"/>
        </w:numPr>
        <w:spacing w:line="360" w:lineRule="auto"/>
        <w:ind w:leftChars="0"/>
        <w:rPr>
          <w:rFonts w:hint="eastAsia" w:ascii="宋体" w:hAnsi="宋体" w:eastAsia="宋体"/>
          <w:b w:val="0"/>
          <w:bCs w:val="0"/>
          <w:sz w:val="24"/>
          <w:szCs w:val="24"/>
          <w:lang w:val="en-US" w:eastAsia="zh-CN"/>
        </w:rPr>
      </w:pPr>
    </w:p>
    <w:p w14:paraId="2101D608">
      <w:pPr>
        <w:numPr>
          <w:ilvl w:val="0"/>
          <w:numId w:val="0"/>
        </w:numPr>
        <w:spacing w:line="360" w:lineRule="auto"/>
        <w:ind w:leftChars="0"/>
        <w:rPr>
          <w:rFonts w:hint="eastAsia" w:ascii="宋体" w:hAnsi="宋体" w:eastAsia="宋体"/>
          <w:b w:val="0"/>
          <w:bCs w:val="0"/>
          <w:sz w:val="24"/>
          <w:szCs w:val="24"/>
          <w:lang w:val="en-US" w:eastAsia="zh-CN"/>
        </w:rPr>
      </w:pPr>
    </w:p>
    <w:p w14:paraId="0693E2E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64F133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14:paraId="55C28660">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14:paraId="04B1E4A1">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14:paraId="5AFB4317">
      <w:pPr>
        <w:spacing w:line="360" w:lineRule="auto"/>
        <w:rPr>
          <w:rFonts w:ascii="宋体" w:hAnsi="宋体" w:eastAsia="宋体" w:cs="Times New Roman"/>
          <w:sz w:val="24"/>
          <w:szCs w:val="20"/>
        </w:rPr>
      </w:pPr>
    </w:p>
    <w:p w14:paraId="5F8BFFFA">
      <w:pPr>
        <w:spacing w:line="360" w:lineRule="auto"/>
        <w:rPr>
          <w:rFonts w:ascii="宋体" w:hAnsi="宋体" w:eastAsia="宋体" w:cs="Times New Roman"/>
          <w:sz w:val="24"/>
          <w:szCs w:val="20"/>
        </w:rPr>
      </w:pPr>
    </w:p>
    <w:p w14:paraId="4E0B6736">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14:paraId="1EBB141D">
      <w:pPr>
        <w:spacing w:line="360" w:lineRule="auto"/>
        <w:rPr>
          <w:rFonts w:ascii="宋体" w:hAnsi="宋体" w:eastAsia="宋体" w:cs="Times New Roman"/>
          <w:sz w:val="24"/>
          <w:szCs w:val="20"/>
        </w:rPr>
      </w:pPr>
    </w:p>
    <w:p w14:paraId="744A0318">
      <w:pPr>
        <w:spacing w:line="360" w:lineRule="auto"/>
        <w:rPr>
          <w:rFonts w:ascii="宋体" w:hAnsi="宋体" w:eastAsia="宋体" w:cs="Times New Roman"/>
          <w:sz w:val="24"/>
          <w:szCs w:val="20"/>
        </w:rPr>
      </w:pPr>
    </w:p>
    <w:p w14:paraId="0C1761BE">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14:paraId="117F279E">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14:paraId="478842B7">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14:paraId="66528E3D">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14:paraId="1DFFFC79">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14:paraId="1397F8A6">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14:paraId="5E11876A">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14:paraId="004EE71E">
      <w:pPr>
        <w:spacing w:beforeLines="50" w:afterLines="50" w:line="360" w:lineRule="auto"/>
        <w:jc w:val="left"/>
        <w:rPr>
          <w:rFonts w:ascii="宋体" w:hAnsi="宋体" w:eastAsia="宋体" w:cs="Times New Roman"/>
          <w:sz w:val="24"/>
          <w:szCs w:val="24"/>
        </w:rPr>
      </w:pPr>
    </w:p>
    <w:p w14:paraId="0EBEC28F">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14:paraId="5CEFAFF5">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14:paraId="2D5F54E0">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14:paraId="2AF2384C">
      <w:pPr>
        <w:spacing w:beforeLines="50" w:afterLines="50" w:line="360" w:lineRule="auto"/>
        <w:jc w:val="left"/>
        <w:rPr>
          <w:rFonts w:ascii="宋体" w:hAnsi="宋体" w:eastAsia="宋体" w:cs="Times New Roman"/>
          <w:sz w:val="24"/>
          <w:szCs w:val="24"/>
        </w:rPr>
      </w:pPr>
    </w:p>
    <w:p w14:paraId="0085E415">
      <w:pPr>
        <w:spacing w:line="360" w:lineRule="auto"/>
        <w:jc w:val="left"/>
        <w:rPr>
          <w:rFonts w:ascii="宋体" w:hAnsi="宋体" w:eastAsia="宋体" w:cs="Times New Roman"/>
          <w:sz w:val="24"/>
          <w:szCs w:val="24"/>
        </w:rPr>
      </w:pPr>
    </w:p>
    <w:p w14:paraId="065A457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14:paraId="7F6D4DB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14:paraId="1551753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14:paraId="137C3DAD">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14:paraId="556D145C">
      <w:pPr>
        <w:spacing w:line="360" w:lineRule="auto"/>
        <w:jc w:val="left"/>
        <w:rPr>
          <w:rFonts w:ascii="宋体" w:hAnsi="宋体" w:eastAsia="宋体" w:cs="Times New Roman"/>
          <w:sz w:val="24"/>
          <w:szCs w:val="24"/>
          <w:u w:val="single"/>
        </w:rPr>
      </w:pPr>
    </w:p>
    <w:p w14:paraId="2E337F32">
      <w:pPr>
        <w:spacing w:line="360" w:lineRule="auto"/>
        <w:jc w:val="left"/>
        <w:rPr>
          <w:rFonts w:ascii="宋体" w:hAnsi="宋体" w:eastAsia="宋体" w:cs="Times New Roman"/>
          <w:sz w:val="24"/>
          <w:szCs w:val="24"/>
          <w:u w:val="single"/>
        </w:rPr>
      </w:pPr>
    </w:p>
    <w:p w14:paraId="2DD574FC">
      <w:pPr>
        <w:spacing w:line="360" w:lineRule="auto"/>
        <w:jc w:val="left"/>
        <w:rPr>
          <w:rFonts w:ascii="宋体" w:hAnsi="宋体" w:eastAsia="宋体" w:cs="Times New Roman"/>
          <w:sz w:val="24"/>
          <w:szCs w:val="24"/>
          <w:u w:val="single"/>
        </w:rPr>
      </w:pPr>
    </w:p>
    <w:p w14:paraId="3F114849"/>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67CD">
    <w:pPr>
      <w:pStyle w:val="22"/>
      <w:jc w:val="center"/>
    </w:pPr>
    <w:r>
      <w:fldChar w:fldCharType="begin"/>
    </w:r>
    <w:r>
      <w:instrText xml:space="preserve"> PAGE   \* MERGEFORMAT </w:instrText>
    </w:r>
    <w:r>
      <w:fldChar w:fldCharType="separate"/>
    </w:r>
    <w:r>
      <w:rPr>
        <w:lang w:val="zh-CN"/>
      </w:rPr>
      <w:t>1</w:t>
    </w:r>
    <w:r>
      <w:rPr>
        <w:lang w:val="zh-CN"/>
      </w:rPr>
      <w:fldChar w:fldCharType="end"/>
    </w:r>
  </w:p>
  <w:p w14:paraId="5AD9C98C">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6F466">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14:paraId="6D3B9D59">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994D1">
    <w:pPr>
      <w:pStyle w:val="22"/>
      <w:jc w:val="center"/>
    </w:pPr>
    <w:r>
      <w:fldChar w:fldCharType="begin"/>
    </w:r>
    <w:r>
      <w:instrText xml:space="preserve"> PAGE   \* MERGEFORMAT </w:instrText>
    </w:r>
    <w:r>
      <w:fldChar w:fldCharType="separate"/>
    </w:r>
    <w:r>
      <w:rPr>
        <w:lang w:val="zh-CN"/>
      </w:rPr>
      <w:t>2</w:t>
    </w:r>
    <w:r>
      <w:rPr>
        <w:lang w:val="zh-CN"/>
      </w:rPr>
      <w:fldChar w:fldCharType="end"/>
    </w:r>
  </w:p>
  <w:p w14:paraId="086B62AC">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8C048">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5997">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14:paraId="3814A047">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14:paraId="00EB35C8">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6E6B">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624E0">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22A7">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14CB">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2919">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F85B">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5FEB">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7A81">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E13A2"/>
    <w:multiLevelType w:val="singleLevel"/>
    <w:tmpl w:val="812E13A2"/>
    <w:lvl w:ilvl="0" w:tentative="0">
      <w:start w:val="1"/>
      <w:numFmt w:val="decimal"/>
      <w:lvlText w:val="%1."/>
      <w:lvlJc w:val="left"/>
      <w:pPr>
        <w:ind w:left="425" w:hanging="425"/>
      </w:pPr>
      <w:rPr>
        <w:rFonts w:hint="default"/>
      </w:rPr>
    </w:lvl>
  </w:abstractNum>
  <w:abstractNum w:abstractNumId="1">
    <w:nsid w:val="83CC78E2"/>
    <w:multiLevelType w:val="singleLevel"/>
    <w:tmpl w:val="83CC78E2"/>
    <w:lvl w:ilvl="0" w:tentative="0">
      <w:start w:val="1"/>
      <w:numFmt w:val="chineseCounting"/>
      <w:suff w:val="nothing"/>
      <w:lvlText w:val="%1、"/>
      <w:lvlJc w:val="left"/>
      <w:pPr>
        <w:ind w:left="0" w:firstLine="420"/>
      </w:pPr>
      <w:rPr>
        <w:rFonts w:hint="eastAsia"/>
      </w:rPr>
    </w:lvl>
  </w:abstractNum>
  <w:abstractNum w:abstractNumId="2">
    <w:nsid w:val="8EDD4E07"/>
    <w:multiLevelType w:val="singleLevel"/>
    <w:tmpl w:val="8EDD4E07"/>
    <w:lvl w:ilvl="0" w:tentative="0">
      <w:start w:val="8"/>
      <w:numFmt w:val="decimal"/>
      <w:lvlText w:val="%1."/>
      <w:lvlJc w:val="left"/>
      <w:pPr>
        <w:tabs>
          <w:tab w:val="left" w:pos="420"/>
        </w:tabs>
        <w:ind w:left="425" w:leftChars="0" w:hanging="425" w:firstLineChars="0"/>
      </w:pPr>
      <w:rPr>
        <w:rFonts w:hint="default" w:ascii="Times New Roman" w:hAnsi="Times New Roman" w:cs="Times New Roman"/>
        <w:sz w:val="24"/>
        <w:szCs w:val="24"/>
      </w:rPr>
    </w:lvl>
  </w:abstractNum>
  <w:abstractNum w:abstractNumId="3">
    <w:nsid w:val="9FB265CA"/>
    <w:multiLevelType w:val="singleLevel"/>
    <w:tmpl w:val="9FB265CA"/>
    <w:lvl w:ilvl="0" w:tentative="0">
      <w:start w:val="1"/>
      <w:numFmt w:val="decimal"/>
      <w:suff w:val="nothing"/>
      <w:lvlText w:val="（%1）"/>
      <w:lvlJc w:val="left"/>
    </w:lvl>
  </w:abstractNum>
  <w:abstractNum w:abstractNumId="4">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5">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6">
    <w:nsid w:val="B66330F8"/>
    <w:multiLevelType w:val="singleLevel"/>
    <w:tmpl w:val="B66330F8"/>
    <w:lvl w:ilvl="0" w:tentative="0">
      <w:start w:val="1"/>
      <w:numFmt w:val="decimal"/>
      <w:lvlText w:val="%1."/>
      <w:lvlJc w:val="left"/>
      <w:pPr>
        <w:ind w:left="425" w:hanging="425"/>
      </w:pPr>
      <w:rPr>
        <w:rFonts w:hint="default"/>
      </w:rPr>
    </w:lvl>
  </w:abstractNum>
  <w:abstractNum w:abstractNumId="7">
    <w:nsid w:val="C07C3EB7"/>
    <w:multiLevelType w:val="singleLevel"/>
    <w:tmpl w:val="C07C3EB7"/>
    <w:lvl w:ilvl="0" w:tentative="0">
      <w:start w:val="1"/>
      <w:numFmt w:val="decimal"/>
      <w:lvlText w:val="%1."/>
      <w:lvlJc w:val="left"/>
      <w:pPr>
        <w:ind w:left="425" w:hanging="425"/>
      </w:pPr>
      <w:rPr>
        <w:rFonts w:hint="default"/>
      </w:rPr>
    </w:lvl>
  </w:abstractNum>
  <w:abstractNum w:abstractNumId="8">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9">
    <w:nsid w:val="D05905AB"/>
    <w:multiLevelType w:val="singleLevel"/>
    <w:tmpl w:val="D05905AB"/>
    <w:lvl w:ilvl="0" w:tentative="0">
      <w:start w:val="1"/>
      <w:numFmt w:val="chineseCounting"/>
      <w:suff w:val="nothing"/>
      <w:lvlText w:val="%1、"/>
      <w:lvlJc w:val="left"/>
      <w:pPr>
        <w:ind w:left="0" w:firstLine="420"/>
      </w:pPr>
      <w:rPr>
        <w:rFonts w:hint="eastAsia"/>
      </w:rPr>
    </w:lvl>
  </w:abstractNum>
  <w:abstractNum w:abstractNumId="10">
    <w:nsid w:val="E13E8615"/>
    <w:multiLevelType w:val="singleLevel"/>
    <w:tmpl w:val="E13E8615"/>
    <w:lvl w:ilvl="0" w:tentative="0">
      <w:start w:val="1"/>
      <w:numFmt w:val="decimal"/>
      <w:lvlText w:val="%1."/>
      <w:lvlJc w:val="left"/>
      <w:pPr>
        <w:ind w:left="425" w:hanging="425"/>
      </w:pPr>
      <w:rPr>
        <w:rFonts w:hint="default"/>
      </w:rPr>
    </w:lvl>
  </w:abstractNum>
  <w:abstractNum w:abstractNumId="11">
    <w:nsid w:val="FD8D34B8"/>
    <w:multiLevelType w:val="singleLevel"/>
    <w:tmpl w:val="FD8D34B8"/>
    <w:lvl w:ilvl="0" w:tentative="0">
      <w:start w:val="1"/>
      <w:numFmt w:val="decimal"/>
      <w:lvlText w:val="%1."/>
      <w:lvlJc w:val="left"/>
      <w:pPr>
        <w:ind w:left="425" w:hanging="425"/>
      </w:pPr>
      <w:rPr>
        <w:rFonts w:hint="default"/>
      </w:rPr>
    </w:lvl>
  </w:abstractNum>
  <w:abstractNum w:abstractNumId="12">
    <w:nsid w:val="0C7CE43D"/>
    <w:multiLevelType w:val="singleLevel"/>
    <w:tmpl w:val="0C7CE43D"/>
    <w:lvl w:ilvl="0" w:tentative="0">
      <w:start w:val="2"/>
      <w:numFmt w:val="decimal"/>
      <w:suff w:val="nothing"/>
      <w:lvlText w:val="（%1）"/>
      <w:lvlJc w:val="left"/>
    </w:lvl>
  </w:abstractNum>
  <w:abstractNum w:abstractNumId="13">
    <w:nsid w:val="22649A65"/>
    <w:multiLevelType w:val="singleLevel"/>
    <w:tmpl w:val="22649A65"/>
    <w:lvl w:ilvl="0" w:tentative="0">
      <w:start w:val="1"/>
      <w:numFmt w:val="chineseCounting"/>
      <w:suff w:val="nothing"/>
      <w:lvlText w:val="%1、"/>
      <w:lvlJc w:val="left"/>
      <w:pPr>
        <w:ind w:left="0" w:firstLine="420"/>
      </w:pPr>
      <w:rPr>
        <w:rFonts w:hint="eastAsia"/>
      </w:rPr>
    </w:lvl>
  </w:abstractNum>
  <w:abstractNum w:abstractNumId="14">
    <w:nsid w:val="2E32A542"/>
    <w:multiLevelType w:val="singleLevel"/>
    <w:tmpl w:val="2E32A542"/>
    <w:lvl w:ilvl="0" w:tentative="0">
      <w:start w:val="1"/>
      <w:numFmt w:val="chineseCounting"/>
      <w:suff w:val="nothing"/>
      <w:lvlText w:val="%1、"/>
      <w:lvlJc w:val="left"/>
      <w:pPr>
        <w:ind w:left="0" w:firstLine="420"/>
      </w:pPr>
      <w:rPr>
        <w:rFonts w:hint="eastAsia"/>
      </w:rPr>
    </w:lvl>
  </w:abstractNum>
  <w:abstractNum w:abstractNumId="15">
    <w:nsid w:val="3AD41159"/>
    <w:multiLevelType w:val="singleLevel"/>
    <w:tmpl w:val="3AD41159"/>
    <w:lvl w:ilvl="0" w:tentative="0">
      <w:start w:val="1"/>
      <w:numFmt w:val="chineseCounting"/>
      <w:suff w:val="nothing"/>
      <w:lvlText w:val="%1、"/>
      <w:lvlJc w:val="left"/>
      <w:pPr>
        <w:ind w:left="0" w:firstLine="420"/>
      </w:pPr>
      <w:rPr>
        <w:rFonts w:hint="eastAsia"/>
      </w:rPr>
    </w:lvl>
  </w:abstractNum>
  <w:abstractNum w:abstractNumId="16">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668529CE"/>
    <w:multiLevelType w:val="singleLevel"/>
    <w:tmpl w:val="668529CE"/>
    <w:lvl w:ilvl="0" w:tentative="0">
      <w:start w:val="1"/>
      <w:numFmt w:val="decimal"/>
      <w:lvlText w:val="%1."/>
      <w:lvlJc w:val="left"/>
      <w:pPr>
        <w:ind w:left="425" w:hanging="425"/>
      </w:pPr>
      <w:rPr>
        <w:rFonts w:hint="default"/>
      </w:rPr>
    </w:lvl>
  </w:abstractNum>
  <w:abstractNum w:abstractNumId="18">
    <w:nsid w:val="67A95B1F"/>
    <w:multiLevelType w:val="singleLevel"/>
    <w:tmpl w:val="67A95B1F"/>
    <w:lvl w:ilvl="0" w:tentative="0">
      <w:start w:val="1"/>
      <w:numFmt w:val="decimal"/>
      <w:lvlText w:val="%1."/>
      <w:lvlJc w:val="left"/>
      <w:pPr>
        <w:ind w:left="425" w:hanging="425"/>
      </w:pPr>
      <w:rPr>
        <w:rFonts w:hint="default"/>
      </w:rPr>
    </w:lvl>
  </w:abstractNum>
  <w:num w:numId="1">
    <w:abstractNumId w:val="16"/>
  </w:num>
  <w:num w:numId="2">
    <w:abstractNumId w:val="12"/>
  </w:num>
  <w:num w:numId="3">
    <w:abstractNumId w:val="4"/>
  </w:num>
  <w:num w:numId="4">
    <w:abstractNumId w:val="5"/>
  </w:num>
  <w:num w:numId="5">
    <w:abstractNumId w:val="6"/>
  </w:num>
  <w:num w:numId="6">
    <w:abstractNumId w:val="8"/>
  </w:num>
  <w:num w:numId="7">
    <w:abstractNumId w:val="18"/>
  </w:num>
  <w:num w:numId="8">
    <w:abstractNumId w:val="3"/>
  </w:num>
  <w:num w:numId="9">
    <w:abstractNumId w:val="2"/>
  </w:num>
  <w:num w:numId="10">
    <w:abstractNumId w:val="13"/>
  </w:num>
  <w:num w:numId="11">
    <w:abstractNumId w:val="0"/>
  </w:num>
  <w:num w:numId="12">
    <w:abstractNumId w:val="1"/>
  </w:num>
  <w:num w:numId="13">
    <w:abstractNumId w:val="17"/>
  </w:num>
  <w:num w:numId="14">
    <w:abstractNumId w:val="14"/>
  </w:num>
  <w:num w:numId="15">
    <w:abstractNumId w:val="11"/>
  </w:num>
  <w:num w:numId="16">
    <w:abstractNumId w:val="15"/>
  </w:num>
  <w:num w:numId="17">
    <w:abstractNumId w:val="10"/>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0FFD6BE5"/>
    <w:rsid w:val="126A0881"/>
    <w:rsid w:val="129544B2"/>
    <w:rsid w:val="13E44EDE"/>
    <w:rsid w:val="19530D66"/>
    <w:rsid w:val="19BC5BE6"/>
    <w:rsid w:val="19DC576F"/>
    <w:rsid w:val="1A5F06D7"/>
    <w:rsid w:val="1B09545F"/>
    <w:rsid w:val="1C7C757C"/>
    <w:rsid w:val="1DBB4EF2"/>
    <w:rsid w:val="1DBC650F"/>
    <w:rsid w:val="1E4F1A12"/>
    <w:rsid w:val="206F557C"/>
    <w:rsid w:val="21CA6472"/>
    <w:rsid w:val="22AA393E"/>
    <w:rsid w:val="2464469F"/>
    <w:rsid w:val="24C25007"/>
    <w:rsid w:val="262A7ACF"/>
    <w:rsid w:val="271D349F"/>
    <w:rsid w:val="277C62E7"/>
    <w:rsid w:val="29951BF1"/>
    <w:rsid w:val="2B2963D3"/>
    <w:rsid w:val="2E095F27"/>
    <w:rsid w:val="2E287082"/>
    <w:rsid w:val="2E6E18BF"/>
    <w:rsid w:val="2E884201"/>
    <w:rsid w:val="2F2C5770"/>
    <w:rsid w:val="2F535254"/>
    <w:rsid w:val="331367BC"/>
    <w:rsid w:val="34EE008B"/>
    <w:rsid w:val="352B33FC"/>
    <w:rsid w:val="35805CB4"/>
    <w:rsid w:val="36CA3141"/>
    <w:rsid w:val="37C130EE"/>
    <w:rsid w:val="38593614"/>
    <w:rsid w:val="39301A51"/>
    <w:rsid w:val="3A4103F8"/>
    <w:rsid w:val="3BF15DAC"/>
    <w:rsid w:val="3DA4759C"/>
    <w:rsid w:val="3DFE745B"/>
    <w:rsid w:val="3E2B711B"/>
    <w:rsid w:val="3E2D1012"/>
    <w:rsid w:val="3E48145F"/>
    <w:rsid w:val="3F734081"/>
    <w:rsid w:val="409018AF"/>
    <w:rsid w:val="40E94034"/>
    <w:rsid w:val="412709D8"/>
    <w:rsid w:val="41627833"/>
    <w:rsid w:val="416B3CFA"/>
    <w:rsid w:val="416D419A"/>
    <w:rsid w:val="421443FB"/>
    <w:rsid w:val="427239F0"/>
    <w:rsid w:val="43426C26"/>
    <w:rsid w:val="4404475B"/>
    <w:rsid w:val="44E76487"/>
    <w:rsid w:val="4535060E"/>
    <w:rsid w:val="469B3D4F"/>
    <w:rsid w:val="473A03ED"/>
    <w:rsid w:val="49B25227"/>
    <w:rsid w:val="4B863339"/>
    <w:rsid w:val="4BA42333"/>
    <w:rsid w:val="4CEE1CF2"/>
    <w:rsid w:val="4D25098E"/>
    <w:rsid w:val="4D77632F"/>
    <w:rsid w:val="4E7C3473"/>
    <w:rsid w:val="501778F7"/>
    <w:rsid w:val="50CF0D56"/>
    <w:rsid w:val="52C021AE"/>
    <w:rsid w:val="5371335C"/>
    <w:rsid w:val="5389510F"/>
    <w:rsid w:val="54BD39A2"/>
    <w:rsid w:val="56E97E3E"/>
    <w:rsid w:val="59A549DC"/>
    <w:rsid w:val="5BB838A1"/>
    <w:rsid w:val="5CF501E7"/>
    <w:rsid w:val="5E4E4400"/>
    <w:rsid w:val="5E5E67D4"/>
    <w:rsid w:val="60BA47AE"/>
    <w:rsid w:val="61E26848"/>
    <w:rsid w:val="63B05371"/>
    <w:rsid w:val="63D92820"/>
    <w:rsid w:val="63E1229E"/>
    <w:rsid w:val="64917820"/>
    <w:rsid w:val="67C41429"/>
    <w:rsid w:val="685F15E7"/>
    <w:rsid w:val="690540BF"/>
    <w:rsid w:val="699B0761"/>
    <w:rsid w:val="6A0856B9"/>
    <w:rsid w:val="6A664098"/>
    <w:rsid w:val="6C146FEA"/>
    <w:rsid w:val="6CE12E64"/>
    <w:rsid w:val="6CEA0C57"/>
    <w:rsid w:val="6D024D8C"/>
    <w:rsid w:val="6ECC7A0D"/>
    <w:rsid w:val="709F0097"/>
    <w:rsid w:val="70EA395C"/>
    <w:rsid w:val="71C45194"/>
    <w:rsid w:val="7397006E"/>
    <w:rsid w:val="740D6797"/>
    <w:rsid w:val="748B756C"/>
    <w:rsid w:val="75CC49D7"/>
    <w:rsid w:val="76C539AC"/>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autoRedefine/>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autoRedefine/>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autoRedefine/>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autoRedefine/>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autoRedefine/>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autoRedefine/>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Times New Roman" w:hAnsi="Times New Roman" w:eastAsia="宋体" w:cs="Times New Roman"/>
      <w:szCs w:val="20"/>
    </w:rPr>
  </w:style>
  <w:style w:type="paragraph" w:styleId="12">
    <w:name w:val="Document Map"/>
    <w:basedOn w:val="1"/>
    <w:link w:val="202"/>
    <w:autoRedefine/>
    <w:qFormat/>
    <w:uiPriority w:val="0"/>
    <w:rPr>
      <w:rFonts w:ascii="宋体" w:hAnsi="Times New Roman" w:eastAsia="宋体" w:cs="Times New Roman"/>
      <w:sz w:val="18"/>
      <w:szCs w:val="18"/>
    </w:rPr>
  </w:style>
  <w:style w:type="paragraph" w:styleId="13">
    <w:name w:val="annotation text"/>
    <w:basedOn w:val="1"/>
    <w:link w:val="125"/>
    <w:autoRedefine/>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autoRedefine/>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autoRedefine/>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autoRedefine/>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autoRedefine/>
    <w:semiHidden/>
    <w:qFormat/>
    <w:uiPriority w:val="0"/>
    <w:rPr>
      <w:rFonts w:ascii="Times New Roman" w:hAnsi="Times New Roman" w:eastAsia="宋体" w:cs="Times New Roman"/>
      <w:sz w:val="18"/>
      <w:szCs w:val="18"/>
    </w:rPr>
  </w:style>
  <w:style w:type="paragraph" w:styleId="22">
    <w:name w:val="footer"/>
    <w:basedOn w:val="1"/>
    <w:link w:val="40"/>
    <w:autoRedefine/>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autoRedefine/>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autoRedefine/>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autoRedefine/>
    <w:qFormat/>
    <w:uiPriority w:val="0"/>
  </w:style>
  <w:style w:type="character" w:styleId="35">
    <w:name w:val="FollowedHyperlink"/>
    <w:basedOn w:val="33"/>
    <w:autoRedefine/>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autoRedefine/>
    <w:qFormat/>
    <w:uiPriority w:val="20"/>
    <w:rPr>
      <w:i/>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character" w:customStyle="1" w:styleId="39">
    <w:name w:val="页眉 Char1"/>
    <w:basedOn w:val="33"/>
    <w:link w:val="23"/>
    <w:autoRedefine/>
    <w:qFormat/>
    <w:uiPriority w:val="99"/>
    <w:rPr>
      <w:sz w:val="18"/>
      <w:szCs w:val="18"/>
    </w:rPr>
  </w:style>
  <w:style w:type="character" w:customStyle="1" w:styleId="40">
    <w:name w:val="页脚 Char1"/>
    <w:basedOn w:val="33"/>
    <w:link w:val="22"/>
    <w:autoRedefine/>
    <w:qFormat/>
    <w:uiPriority w:val="99"/>
    <w:rPr>
      <w:sz w:val="18"/>
      <w:szCs w:val="18"/>
    </w:rPr>
  </w:style>
  <w:style w:type="character" w:customStyle="1" w:styleId="41">
    <w:name w:val="标题 1 Char"/>
    <w:basedOn w:val="33"/>
    <w:link w:val="2"/>
    <w:autoRedefine/>
    <w:qFormat/>
    <w:uiPriority w:val="0"/>
    <w:rPr>
      <w:rFonts w:ascii="Times New Roman" w:hAnsi="Times New Roman" w:eastAsia="宋体" w:cs="Times New Roman"/>
      <w:b/>
      <w:kern w:val="44"/>
      <w:sz w:val="44"/>
      <w:szCs w:val="20"/>
    </w:rPr>
  </w:style>
  <w:style w:type="character" w:customStyle="1" w:styleId="42">
    <w:name w:val="标题 2 Char"/>
    <w:basedOn w:val="33"/>
    <w:link w:val="3"/>
    <w:autoRedefine/>
    <w:qFormat/>
    <w:uiPriority w:val="0"/>
    <w:rPr>
      <w:rFonts w:ascii="Arial" w:hAnsi="Arial" w:eastAsia="黑体" w:cs="Times New Roman"/>
      <w:b/>
      <w:bCs/>
      <w:sz w:val="32"/>
      <w:szCs w:val="32"/>
    </w:rPr>
  </w:style>
  <w:style w:type="character" w:customStyle="1" w:styleId="43">
    <w:name w:val="标题 3 Char"/>
    <w:basedOn w:val="33"/>
    <w:link w:val="4"/>
    <w:autoRedefine/>
    <w:qFormat/>
    <w:uiPriority w:val="0"/>
    <w:rPr>
      <w:rFonts w:ascii="Times New Roman" w:hAnsi="Times New Roman" w:eastAsia="宋体" w:cs="Times New Roman"/>
      <w:b/>
      <w:sz w:val="32"/>
      <w:szCs w:val="20"/>
    </w:rPr>
  </w:style>
  <w:style w:type="character" w:customStyle="1" w:styleId="44">
    <w:name w:val="标题 4 Char"/>
    <w:basedOn w:val="33"/>
    <w:link w:val="6"/>
    <w:autoRedefine/>
    <w:qFormat/>
    <w:uiPriority w:val="0"/>
    <w:rPr>
      <w:rFonts w:ascii="Arial" w:hAnsi="Arial" w:eastAsia="黑体" w:cs="Times New Roman"/>
      <w:b/>
      <w:bCs/>
      <w:sz w:val="28"/>
      <w:szCs w:val="28"/>
    </w:rPr>
  </w:style>
  <w:style w:type="character" w:customStyle="1" w:styleId="45">
    <w:name w:val="标题 5 Char"/>
    <w:basedOn w:val="33"/>
    <w:link w:val="7"/>
    <w:autoRedefine/>
    <w:qFormat/>
    <w:uiPriority w:val="0"/>
    <w:rPr>
      <w:rFonts w:ascii="Times New Roman" w:hAnsi="Times New Roman" w:eastAsia="宋体" w:cs="Times New Roman"/>
      <w:b/>
      <w:bCs/>
      <w:sz w:val="28"/>
      <w:szCs w:val="28"/>
    </w:rPr>
  </w:style>
  <w:style w:type="character" w:customStyle="1" w:styleId="46">
    <w:name w:val="标题 6 Char"/>
    <w:basedOn w:val="33"/>
    <w:link w:val="8"/>
    <w:autoRedefine/>
    <w:qFormat/>
    <w:uiPriority w:val="0"/>
    <w:rPr>
      <w:rFonts w:ascii="Arial" w:hAnsi="Arial" w:eastAsia="黑体" w:cs="Times New Roman"/>
      <w:b/>
      <w:bCs/>
      <w:sz w:val="24"/>
      <w:szCs w:val="24"/>
    </w:rPr>
  </w:style>
  <w:style w:type="character" w:customStyle="1" w:styleId="47">
    <w:name w:val="标题 7 Char"/>
    <w:basedOn w:val="33"/>
    <w:link w:val="9"/>
    <w:autoRedefine/>
    <w:qFormat/>
    <w:uiPriority w:val="0"/>
    <w:rPr>
      <w:rFonts w:ascii="Times New Roman" w:hAnsi="Times New Roman" w:eastAsia="宋体" w:cs="Times New Roman"/>
      <w:b/>
      <w:bCs/>
      <w:sz w:val="24"/>
      <w:szCs w:val="24"/>
    </w:rPr>
  </w:style>
  <w:style w:type="character" w:customStyle="1" w:styleId="48">
    <w:name w:val="标题 8 Char"/>
    <w:basedOn w:val="33"/>
    <w:link w:val="10"/>
    <w:autoRedefine/>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autoRedefine/>
    <w:qFormat/>
    <w:uiPriority w:val="0"/>
    <w:rPr>
      <w:rFonts w:ascii="宋体" w:hAnsi="Courier New" w:eastAsia="宋体" w:cs="Times New Roman"/>
      <w:szCs w:val="20"/>
    </w:rPr>
  </w:style>
  <w:style w:type="character" w:customStyle="1" w:styleId="52">
    <w:name w:val="日期 Char"/>
    <w:basedOn w:val="33"/>
    <w:link w:val="19"/>
    <w:autoRedefine/>
    <w:qFormat/>
    <w:uiPriority w:val="0"/>
    <w:rPr>
      <w:rFonts w:ascii="宋体" w:hAnsi="Times New Roman" w:eastAsia="宋体" w:cs="Times New Roman"/>
      <w:b/>
      <w:sz w:val="36"/>
      <w:szCs w:val="20"/>
    </w:rPr>
  </w:style>
  <w:style w:type="paragraph" w:customStyle="1" w:styleId="53">
    <w:name w:val="_Style 32"/>
    <w:basedOn w:val="1"/>
    <w:next w:val="54"/>
    <w:autoRedefine/>
    <w:qFormat/>
    <w:uiPriority w:val="0"/>
    <w:pPr>
      <w:ind w:firstLine="420" w:firstLineChars="200"/>
    </w:pPr>
    <w:rPr>
      <w:rFonts w:ascii="Times New Roman" w:hAnsi="Times New Roman" w:eastAsia="宋体" w:cs="Times New Roman"/>
      <w:szCs w:val="21"/>
    </w:rPr>
  </w:style>
  <w:style w:type="paragraph" w:styleId="54">
    <w:name w:val="List Paragraph"/>
    <w:basedOn w:val="1"/>
    <w:autoRedefine/>
    <w:qFormat/>
    <w:uiPriority w:val="34"/>
    <w:pPr>
      <w:ind w:firstLine="420" w:firstLineChars="200"/>
    </w:pPr>
  </w:style>
  <w:style w:type="paragraph" w:customStyle="1" w:styleId="55">
    <w:name w:val="itb"/>
    <w:basedOn w:val="4"/>
    <w:autoRedefine/>
    <w:qFormat/>
    <w:uiPriority w:val="0"/>
    <w:pPr>
      <w:jc w:val="center"/>
    </w:pPr>
    <w:rPr>
      <w:rFonts w:ascii="楷体_GB2312" w:eastAsia="楷体_GB2312"/>
      <w:sz w:val="36"/>
    </w:rPr>
  </w:style>
  <w:style w:type="paragraph" w:customStyle="1" w:styleId="56">
    <w:name w:val="itb0"/>
    <w:basedOn w:val="55"/>
    <w:autoRedefine/>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autoRedefine/>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autoRedefine/>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autoRedefine/>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autoRedefine/>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autoRedefine/>
    <w:qFormat/>
    <w:uiPriority w:val="0"/>
    <w:pPr>
      <w:ind w:left="1785" w:firstLine="0"/>
    </w:pPr>
  </w:style>
  <w:style w:type="paragraph" w:customStyle="1" w:styleId="63">
    <w:name w:val="gcc"/>
    <w:basedOn w:val="55"/>
    <w:qFormat/>
    <w:uiPriority w:val="0"/>
  </w:style>
  <w:style w:type="paragraph" w:customStyle="1" w:styleId="64">
    <w:name w:val="gcc0"/>
    <w:basedOn w:val="56"/>
    <w:autoRedefine/>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autoRedefine/>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autoRedefine/>
    <w:qFormat/>
    <w:uiPriority w:val="0"/>
    <w:pPr>
      <w:spacing w:before="0" w:after="0" w:line="415" w:lineRule="auto"/>
    </w:pPr>
  </w:style>
  <w:style w:type="paragraph" w:customStyle="1" w:styleId="72">
    <w:name w:val="cft"/>
    <w:basedOn w:val="66"/>
    <w:autoRedefine/>
    <w:qFormat/>
    <w:uiPriority w:val="0"/>
    <w:pPr>
      <w:ind w:left="0"/>
    </w:pPr>
  </w:style>
  <w:style w:type="paragraph" w:customStyle="1" w:styleId="73">
    <w:name w:val="cf1"/>
    <w:basedOn w:val="57"/>
    <w:autoRedefine/>
    <w:qFormat/>
    <w:uiPriority w:val="0"/>
    <w:rPr>
      <w:b w:val="0"/>
      <w:bCs w:val="0"/>
    </w:rPr>
  </w:style>
  <w:style w:type="paragraph" w:customStyle="1" w:styleId="74">
    <w:name w:val="cf2"/>
    <w:basedOn w:val="67"/>
    <w:autoRedefine/>
    <w:qFormat/>
    <w:uiPriority w:val="0"/>
  </w:style>
  <w:style w:type="paragraph" w:customStyle="1" w:styleId="75">
    <w:name w:val="cf2t"/>
    <w:basedOn w:val="5"/>
    <w:autoRedefine/>
    <w:qFormat/>
    <w:uiPriority w:val="0"/>
    <w:pPr>
      <w:spacing w:line="360" w:lineRule="auto"/>
      <w:ind w:left="1260" w:firstLine="0"/>
    </w:pPr>
    <w:rPr>
      <w:rFonts w:ascii="楷体_GB2312" w:eastAsia="楷体_GB2312"/>
      <w:sz w:val="24"/>
    </w:rPr>
  </w:style>
  <w:style w:type="paragraph" w:customStyle="1" w:styleId="76">
    <w:name w:val="at"/>
    <w:basedOn w:val="55"/>
    <w:autoRedefine/>
    <w:qFormat/>
    <w:uiPriority w:val="0"/>
  </w:style>
  <w:style w:type="paragraph" w:customStyle="1" w:styleId="77">
    <w:name w:val="at0"/>
    <w:basedOn w:val="63"/>
    <w:autoRedefine/>
    <w:qFormat/>
    <w:uiPriority w:val="0"/>
    <w:pPr>
      <w:spacing w:before="0" w:after="0" w:line="415" w:lineRule="auto"/>
    </w:pPr>
  </w:style>
  <w:style w:type="paragraph" w:customStyle="1" w:styleId="78">
    <w:name w:val="att"/>
    <w:basedOn w:val="72"/>
    <w:autoRedefine/>
    <w:qFormat/>
    <w:uiPriority w:val="0"/>
  </w:style>
  <w:style w:type="paragraph" w:customStyle="1" w:styleId="79">
    <w:name w:val="at1"/>
    <w:basedOn w:val="65"/>
    <w:autoRedefine/>
    <w:qFormat/>
    <w:uiPriority w:val="0"/>
    <w:rPr>
      <w:b w:val="0"/>
      <w:bCs w:val="0"/>
    </w:rPr>
  </w:style>
  <w:style w:type="paragraph" w:customStyle="1" w:styleId="80">
    <w:name w:val="at2"/>
    <w:basedOn w:val="67"/>
    <w:autoRedefine/>
    <w:qFormat/>
    <w:uiPriority w:val="0"/>
    <w:pPr>
      <w:tabs>
        <w:tab w:val="left" w:pos="8295"/>
      </w:tabs>
    </w:pPr>
  </w:style>
  <w:style w:type="paragraph" w:customStyle="1" w:styleId="81">
    <w:name w:val="at3"/>
    <w:basedOn w:val="68"/>
    <w:autoRedefine/>
    <w:qFormat/>
    <w:uiPriority w:val="0"/>
    <w:pPr>
      <w:tabs>
        <w:tab w:val="left" w:pos="8295"/>
      </w:tabs>
    </w:pPr>
  </w:style>
  <w:style w:type="paragraph" w:customStyle="1" w:styleId="82">
    <w:name w:val="ifb"/>
    <w:basedOn w:val="55"/>
    <w:autoRedefine/>
    <w:qFormat/>
    <w:uiPriority w:val="0"/>
    <w:pPr>
      <w:spacing w:before="0" w:after="0" w:line="360" w:lineRule="auto"/>
    </w:pPr>
  </w:style>
  <w:style w:type="paragraph" w:customStyle="1" w:styleId="83">
    <w:name w:val="ifb-1"/>
    <w:basedOn w:val="1"/>
    <w:autoRedefine/>
    <w:qFormat/>
    <w:uiPriority w:val="0"/>
    <w:pPr>
      <w:ind w:left="420" w:hanging="420"/>
    </w:pPr>
    <w:rPr>
      <w:rFonts w:ascii="楷体_GB2312" w:hAnsi="Times New Roman" w:eastAsia="楷体_GB2312" w:cs="Times New Roman"/>
      <w:szCs w:val="20"/>
    </w:rPr>
  </w:style>
  <w:style w:type="paragraph" w:customStyle="1" w:styleId="84">
    <w:name w:val="cf0"/>
    <w:basedOn w:val="71"/>
    <w:autoRedefine/>
    <w:qFormat/>
    <w:uiPriority w:val="0"/>
  </w:style>
  <w:style w:type="paragraph" w:customStyle="1" w:styleId="85">
    <w:name w:val="sor"/>
    <w:basedOn w:val="82"/>
    <w:autoRedefine/>
    <w:qFormat/>
    <w:uiPriority w:val="0"/>
  </w:style>
  <w:style w:type="paragraph" w:customStyle="1" w:styleId="86">
    <w:name w:val="itb-1.1.a"/>
    <w:basedOn w:val="1"/>
    <w:autoRedefine/>
    <w:qFormat/>
    <w:uiPriority w:val="0"/>
    <w:pPr>
      <w:ind w:left="1470" w:hanging="525"/>
    </w:pPr>
    <w:rPr>
      <w:rFonts w:ascii="楷体_GB2312" w:hAnsi="Times New Roman" w:eastAsia="楷体_GB2312" w:cs="Times New Roman"/>
      <w:szCs w:val="20"/>
    </w:rPr>
  </w:style>
  <w:style w:type="paragraph" w:customStyle="1" w:styleId="87">
    <w:name w:val="atoo"/>
    <w:basedOn w:val="77"/>
    <w:autoRedefine/>
    <w:qFormat/>
    <w:uiPriority w:val="0"/>
  </w:style>
  <w:style w:type="paragraph" w:customStyle="1" w:styleId="88">
    <w:name w:val="ITB-0"/>
    <w:basedOn w:val="1"/>
    <w:autoRedefine/>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autoRedefine/>
    <w:qFormat/>
    <w:uiPriority w:val="0"/>
    <w:pPr>
      <w:spacing w:line="360" w:lineRule="exact"/>
      <w:ind w:left="1467" w:hanging="840"/>
    </w:pPr>
  </w:style>
  <w:style w:type="paragraph" w:customStyle="1" w:styleId="94">
    <w:name w:val="scc-1.1.1"/>
    <w:basedOn w:val="1"/>
    <w:autoRedefine/>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autoRedefine/>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autoRedefine/>
    <w:qFormat/>
    <w:uiPriority w:val="0"/>
    <w:pPr>
      <w:ind w:left="2205" w:hanging="315"/>
    </w:pPr>
  </w:style>
  <w:style w:type="paragraph" w:customStyle="1" w:styleId="99">
    <w:name w:val="scc-1.1"/>
    <w:basedOn w:val="100"/>
    <w:autoRedefine/>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autoRedefine/>
    <w:qFormat/>
    <w:uiPriority w:val="0"/>
    <w:rPr>
      <w:rFonts w:ascii="Times New Roman" w:hAnsi="Times New Roman" w:eastAsia="宋体" w:cs="Times New Roman"/>
      <w:szCs w:val="20"/>
    </w:rPr>
  </w:style>
  <w:style w:type="character" w:customStyle="1" w:styleId="103">
    <w:name w:val="正文文本缩进 Char"/>
    <w:basedOn w:val="33"/>
    <w:link w:val="16"/>
    <w:autoRedefine/>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autoRedefine/>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autoRedefine/>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autoRedefine/>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autoRedefine/>
    <w:qFormat/>
    <w:uiPriority w:val="0"/>
    <w:rPr>
      <w:rFonts w:eastAsia="宋体"/>
      <w:b/>
      <w:bCs/>
      <w:kern w:val="2"/>
      <w:sz w:val="28"/>
      <w:szCs w:val="28"/>
      <w:lang w:val="en-US" w:eastAsia="zh-CN" w:bidi="ar-SA"/>
    </w:rPr>
  </w:style>
  <w:style w:type="character" w:customStyle="1" w:styleId="117">
    <w:name w:val="Char Char5"/>
    <w:autoRedefine/>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autoRedefine/>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autoRedefine/>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autoRedefine/>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autoRedefine/>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autoRedefine/>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autoRedefine/>
    <w:qFormat/>
    <w:uiPriority w:val="0"/>
    <w:rPr>
      <w:rFonts w:ascii="Arial" w:hAnsi="Arial" w:eastAsia="黑体" w:cs="Times New Roman"/>
      <w:b/>
      <w:sz w:val="36"/>
      <w:szCs w:val="20"/>
    </w:rPr>
  </w:style>
  <w:style w:type="character" w:customStyle="1" w:styleId="133">
    <w:name w:val="正文文本 Char1"/>
    <w:autoRedefine/>
    <w:qFormat/>
    <w:uiPriority w:val="0"/>
    <w:rPr>
      <w:kern w:val="2"/>
      <w:sz w:val="21"/>
      <w:szCs w:val="24"/>
    </w:rPr>
  </w:style>
  <w:style w:type="character" w:customStyle="1" w:styleId="134">
    <w:name w:val="Footer Char"/>
    <w:autoRedefine/>
    <w:qFormat/>
    <w:uiPriority w:val="0"/>
    <w:rPr>
      <w:rFonts w:ascii="Times New Roman" w:hAnsi="Times New Roman" w:cs="Times New Roman"/>
      <w:sz w:val="18"/>
      <w:szCs w:val="18"/>
    </w:rPr>
  </w:style>
  <w:style w:type="paragraph" w:customStyle="1" w:styleId="135">
    <w:name w:val="正文文本缩进1"/>
    <w:basedOn w:val="1"/>
    <w:autoRedefine/>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autoRedefine/>
    <w:qFormat/>
    <w:uiPriority w:val="0"/>
    <w:rPr>
      <w:rFonts w:ascii="Times New Roman" w:hAnsi="Times New Roman" w:eastAsia="宋体" w:cs="Times New Roman"/>
      <w:sz w:val="24"/>
      <w:szCs w:val="24"/>
    </w:rPr>
  </w:style>
  <w:style w:type="character" w:customStyle="1" w:styleId="137">
    <w:name w:val="Heading 1 Char"/>
    <w:autoRedefine/>
    <w:qFormat/>
    <w:uiPriority w:val="0"/>
    <w:rPr>
      <w:rFonts w:ascii="Times New Roman" w:hAnsi="Times New Roman" w:cs="Times New Roman"/>
      <w:b/>
      <w:bCs/>
      <w:kern w:val="44"/>
      <w:sz w:val="44"/>
      <w:szCs w:val="44"/>
    </w:rPr>
  </w:style>
  <w:style w:type="character" w:customStyle="1" w:styleId="138">
    <w:name w:val="Heading 2 Char"/>
    <w:autoRedefine/>
    <w:qFormat/>
    <w:uiPriority w:val="0"/>
    <w:rPr>
      <w:rFonts w:ascii="Cambria" w:hAnsi="Cambria" w:eastAsia="宋体" w:cs="Cambria"/>
      <w:b/>
      <w:bCs/>
      <w:sz w:val="32"/>
      <w:szCs w:val="32"/>
    </w:rPr>
  </w:style>
  <w:style w:type="character" w:customStyle="1" w:styleId="139">
    <w:name w:val="Heading 3 Char"/>
    <w:autoRedefine/>
    <w:qFormat/>
    <w:uiPriority w:val="0"/>
    <w:rPr>
      <w:rFonts w:ascii="Times New Roman" w:hAnsi="Times New Roman" w:cs="Times New Roman"/>
      <w:b/>
      <w:bCs/>
      <w:sz w:val="32"/>
      <w:szCs w:val="32"/>
    </w:rPr>
  </w:style>
  <w:style w:type="character" w:customStyle="1" w:styleId="140">
    <w:name w:val="Heading 4 Char"/>
    <w:autoRedefine/>
    <w:qFormat/>
    <w:uiPriority w:val="0"/>
    <w:rPr>
      <w:rFonts w:ascii="Cambria" w:hAnsi="Cambria" w:eastAsia="宋体" w:cs="Cambria"/>
      <w:b/>
      <w:bCs/>
      <w:sz w:val="28"/>
      <w:szCs w:val="28"/>
    </w:rPr>
  </w:style>
  <w:style w:type="character" w:customStyle="1" w:styleId="141">
    <w:name w:val="Heading 5 Char"/>
    <w:autoRedefine/>
    <w:qFormat/>
    <w:uiPriority w:val="0"/>
    <w:rPr>
      <w:rFonts w:ascii="Times New Roman" w:hAnsi="Times New Roman" w:cs="Times New Roman"/>
      <w:b/>
      <w:bCs/>
      <w:sz w:val="28"/>
      <w:szCs w:val="28"/>
    </w:rPr>
  </w:style>
  <w:style w:type="character" w:customStyle="1" w:styleId="142">
    <w:name w:val="Heading 6 Char"/>
    <w:autoRedefine/>
    <w:qFormat/>
    <w:uiPriority w:val="0"/>
    <w:rPr>
      <w:rFonts w:ascii="Cambria" w:hAnsi="Cambria" w:eastAsia="宋体" w:cs="Cambria"/>
      <w:b/>
      <w:bCs/>
      <w:sz w:val="24"/>
      <w:szCs w:val="24"/>
    </w:rPr>
  </w:style>
  <w:style w:type="character" w:customStyle="1" w:styleId="143">
    <w:name w:val="Heading 7 Char"/>
    <w:autoRedefine/>
    <w:qFormat/>
    <w:uiPriority w:val="0"/>
    <w:rPr>
      <w:rFonts w:ascii="Times New Roman" w:hAnsi="Times New Roman" w:cs="Times New Roman"/>
      <w:b/>
      <w:bCs/>
      <w:sz w:val="24"/>
      <w:szCs w:val="24"/>
    </w:rPr>
  </w:style>
  <w:style w:type="character" w:customStyle="1" w:styleId="144">
    <w:name w:val="Heading 8 Char"/>
    <w:autoRedefine/>
    <w:qFormat/>
    <w:uiPriority w:val="0"/>
    <w:rPr>
      <w:rFonts w:ascii="Cambria" w:hAnsi="Cambria" w:eastAsia="宋体" w:cs="Cambria"/>
      <w:sz w:val="24"/>
      <w:szCs w:val="24"/>
    </w:rPr>
  </w:style>
  <w:style w:type="character" w:customStyle="1" w:styleId="145">
    <w:name w:val="Heading 9 Char"/>
    <w:autoRedefine/>
    <w:qFormat/>
    <w:uiPriority w:val="0"/>
    <w:rPr>
      <w:rFonts w:ascii="Cambria" w:hAnsi="Cambria" w:eastAsia="宋体" w:cs="Cambria"/>
      <w:sz w:val="21"/>
      <w:szCs w:val="21"/>
    </w:rPr>
  </w:style>
  <w:style w:type="character" w:customStyle="1" w:styleId="146">
    <w:name w:val="Body Text Char"/>
    <w:autoRedefine/>
    <w:qFormat/>
    <w:uiPriority w:val="0"/>
    <w:rPr>
      <w:rFonts w:ascii="Times New Roman" w:hAnsi="Times New Roman" w:cs="Times New Roman"/>
      <w:sz w:val="24"/>
      <w:szCs w:val="24"/>
    </w:rPr>
  </w:style>
  <w:style w:type="character" w:customStyle="1" w:styleId="147">
    <w:name w:val="Body Text 2 Char"/>
    <w:autoRedefine/>
    <w:qFormat/>
    <w:uiPriority w:val="0"/>
    <w:rPr>
      <w:rFonts w:ascii="Times New Roman" w:hAnsi="Times New Roman" w:cs="Times New Roman"/>
      <w:sz w:val="24"/>
      <w:szCs w:val="24"/>
    </w:rPr>
  </w:style>
  <w:style w:type="character" w:customStyle="1" w:styleId="148">
    <w:name w:val="Body Text 3 Char"/>
    <w:autoRedefine/>
    <w:qFormat/>
    <w:uiPriority w:val="0"/>
    <w:rPr>
      <w:rFonts w:ascii="Times New Roman" w:hAnsi="Times New Roman" w:cs="Times New Roman"/>
      <w:sz w:val="16"/>
      <w:szCs w:val="16"/>
    </w:rPr>
  </w:style>
  <w:style w:type="character" w:customStyle="1" w:styleId="149">
    <w:name w:val="Title Char"/>
    <w:autoRedefine/>
    <w:qFormat/>
    <w:uiPriority w:val="0"/>
    <w:rPr>
      <w:rFonts w:ascii="Cambria" w:hAnsi="Cambria" w:cs="Cambria"/>
      <w:b/>
      <w:bCs/>
      <w:sz w:val="32"/>
      <w:szCs w:val="32"/>
    </w:rPr>
  </w:style>
  <w:style w:type="character" w:customStyle="1" w:styleId="150">
    <w:name w:val="Subtitle Char"/>
    <w:autoRedefine/>
    <w:qFormat/>
    <w:uiPriority w:val="0"/>
    <w:rPr>
      <w:rFonts w:ascii="Cambria" w:hAnsi="Cambria" w:cs="Cambria"/>
      <w:b/>
      <w:bCs/>
      <w:kern w:val="28"/>
      <w:sz w:val="32"/>
      <w:szCs w:val="32"/>
    </w:rPr>
  </w:style>
  <w:style w:type="character" w:customStyle="1" w:styleId="151">
    <w:name w:val="Plain Text Char"/>
    <w:autoRedefine/>
    <w:qFormat/>
    <w:uiPriority w:val="0"/>
    <w:rPr>
      <w:rFonts w:ascii="宋体" w:eastAsia="宋体" w:cs="宋体"/>
      <w:sz w:val="21"/>
      <w:szCs w:val="21"/>
    </w:rPr>
  </w:style>
  <w:style w:type="character" w:customStyle="1" w:styleId="152">
    <w:name w:val="Body Text Indent 2 Char"/>
    <w:autoRedefine/>
    <w:qFormat/>
    <w:uiPriority w:val="0"/>
    <w:rPr>
      <w:rFonts w:ascii="Times New Roman" w:hAnsi="Times New Roman" w:cs="Times New Roman"/>
      <w:sz w:val="24"/>
      <w:szCs w:val="24"/>
    </w:rPr>
  </w:style>
  <w:style w:type="character" w:customStyle="1" w:styleId="153">
    <w:name w:val="Body Text Indent 3 Char"/>
    <w:autoRedefine/>
    <w:qFormat/>
    <w:uiPriority w:val="0"/>
    <w:rPr>
      <w:rFonts w:ascii="Times New Roman" w:hAnsi="Times New Roman" w:cs="Times New Roman"/>
      <w:sz w:val="16"/>
      <w:szCs w:val="16"/>
    </w:rPr>
  </w:style>
  <w:style w:type="character" w:customStyle="1" w:styleId="154">
    <w:name w:val="Header Char"/>
    <w:autoRedefine/>
    <w:qFormat/>
    <w:uiPriority w:val="0"/>
    <w:rPr>
      <w:rFonts w:ascii="Times New Roman" w:hAnsi="Times New Roman" w:cs="Times New Roman"/>
      <w:sz w:val="18"/>
      <w:szCs w:val="18"/>
    </w:rPr>
  </w:style>
  <w:style w:type="character" w:customStyle="1" w:styleId="155">
    <w:name w:val="Date Char"/>
    <w:autoRedefine/>
    <w:qFormat/>
    <w:uiPriority w:val="0"/>
    <w:rPr>
      <w:rFonts w:ascii="Times New Roman" w:hAnsi="Times New Roman" w:cs="Times New Roman"/>
      <w:sz w:val="24"/>
      <w:szCs w:val="24"/>
    </w:rPr>
  </w:style>
  <w:style w:type="character" w:customStyle="1" w:styleId="156">
    <w:name w:val="Balloon Text Char"/>
    <w:autoRedefine/>
    <w:qFormat/>
    <w:uiPriority w:val="0"/>
    <w:rPr>
      <w:rFonts w:ascii="Times New Roman" w:hAnsi="Times New Roman" w:cs="Times New Roman"/>
      <w:sz w:val="2"/>
      <w:szCs w:val="2"/>
    </w:rPr>
  </w:style>
  <w:style w:type="paragraph" w:customStyle="1" w:styleId="157">
    <w:name w:val="00"/>
    <w:autoRedefine/>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autoRedefine/>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autoRedefine/>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autoRedefine/>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autoRedefine/>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autoRedefine/>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autoRedefine/>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autoRedefine/>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autoRedefine/>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autoRedefine/>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autoRedefin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autoRedefine/>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autoRedefine/>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autoRedefine/>
    <w:qFormat/>
    <w:uiPriority w:val="0"/>
    <w:rPr>
      <w:rFonts w:ascii="Times New Roman" w:hAnsi="Times New Roman" w:eastAsia="宋体" w:cs="Times New Roman"/>
      <w:sz w:val="48"/>
      <w:szCs w:val="48"/>
    </w:rPr>
  </w:style>
  <w:style w:type="character" w:customStyle="1" w:styleId="176">
    <w:name w:val="批注主题 Char"/>
    <w:basedOn w:val="125"/>
    <w:link w:val="30"/>
    <w:autoRedefine/>
    <w:qFormat/>
    <w:uiPriority w:val="0"/>
    <w:rPr>
      <w:rFonts w:ascii="Times New Roman" w:hAnsi="Times New Roman" w:eastAsia="宋体" w:cs="Times New Roman"/>
      <w:b/>
      <w:bCs/>
      <w:kern w:val="0"/>
      <w:sz w:val="24"/>
      <w:szCs w:val="24"/>
    </w:rPr>
  </w:style>
  <w:style w:type="paragraph" w:customStyle="1" w:styleId="177">
    <w:name w:val="font7"/>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autoRedefine/>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autoRedefine/>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autoRedefine/>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autoRedefine/>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autoRedefine/>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autoRedefine/>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autoRedefine/>
    <w:qFormat/>
    <w:uiPriority w:val="0"/>
    <w:pPr>
      <w:snapToGrid w:val="0"/>
      <w:spacing w:before="120"/>
    </w:pPr>
    <w:rPr>
      <w:rFonts w:ascii="Times New Roman" w:hAnsi="Times New Roman" w:eastAsia="宋体" w:cs="Times New Roman"/>
      <w:szCs w:val="21"/>
    </w:rPr>
  </w:style>
  <w:style w:type="paragraph" w:customStyle="1" w:styleId="197">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autoRedefine/>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autoRedefine/>
    <w:qFormat/>
    <w:uiPriority w:val="99"/>
    <w:rPr>
      <w:kern w:val="2"/>
      <w:sz w:val="18"/>
    </w:rPr>
  </w:style>
  <w:style w:type="character" w:customStyle="1" w:styleId="200">
    <w:name w:val="页眉 Char"/>
    <w:autoRedefine/>
    <w:qFormat/>
    <w:uiPriority w:val="99"/>
    <w:rPr>
      <w:kern w:val="2"/>
      <w:sz w:val="18"/>
    </w:rPr>
  </w:style>
  <w:style w:type="character" w:customStyle="1" w:styleId="201">
    <w:name w:val="文档结构图 字符"/>
    <w:basedOn w:val="33"/>
    <w:autoRedefine/>
    <w:semiHidden/>
    <w:qFormat/>
    <w:uiPriority w:val="99"/>
    <w:rPr>
      <w:rFonts w:ascii="Microsoft YaHei UI" w:eastAsia="Microsoft YaHei UI"/>
      <w:sz w:val="18"/>
      <w:szCs w:val="18"/>
    </w:rPr>
  </w:style>
  <w:style w:type="character" w:customStyle="1" w:styleId="202">
    <w:name w:val="文档结构图 Char"/>
    <w:link w:val="12"/>
    <w:autoRedefine/>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autoRedefine/>
    <w:qFormat/>
    <w:uiPriority w:val="99"/>
    <w:rPr>
      <w:rFonts w:ascii="宋体" w:hAnsi="宋体" w:eastAsia="宋体" w:cs="Times New Roman"/>
      <w:kern w:val="0"/>
      <w:sz w:val="24"/>
      <w:szCs w:val="24"/>
    </w:rPr>
  </w:style>
  <w:style w:type="paragraph" w:customStyle="1" w:styleId="205">
    <w:name w:val="彩色列表 - 强调文字颜色 11"/>
    <w:basedOn w:val="1"/>
    <w:autoRedefine/>
    <w:qFormat/>
    <w:uiPriority w:val="0"/>
    <w:pPr>
      <w:ind w:firstLine="420" w:firstLineChars="200"/>
    </w:pPr>
    <w:rPr>
      <w:rFonts w:ascii="Calibri" w:hAnsi="Calibri" w:eastAsia="宋体" w:cs="Times New Roman"/>
      <w:sz w:val="30"/>
      <w:szCs w:val="20"/>
    </w:rPr>
  </w:style>
  <w:style w:type="paragraph" w:customStyle="1" w:styleId="206">
    <w:name w:val="列出段落11"/>
    <w:basedOn w:val="1"/>
    <w:autoRedefine/>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autoRedefine/>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autoRedefine/>
    <w:qFormat/>
    <w:uiPriority w:val="34"/>
    <w:pPr>
      <w:ind w:firstLine="420" w:firstLineChars="200"/>
    </w:pPr>
    <w:rPr>
      <w:rFonts w:ascii="Times New Roman" w:hAnsi="Times New Roman" w:eastAsia="宋体" w:cs="Times New Roman"/>
      <w:szCs w:val="24"/>
    </w:rPr>
  </w:style>
  <w:style w:type="character" w:customStyle="1" w:styleId="209">
    <w:name w:val="NormalCharacter"/>
    <w:autoRedefine/>
    <w:qFormat/>
    <w:uiPriority w:val="0"/>
    <w:rPr>
      <w:rFonts w:ascii="Times New Roman" w:hAnsi="Times New Roman" w:eastAsia="宋体"/>
    </w:rPr>
  </w:style>
  <w:style w:type="paragraph" w:customStyle="1" w:styleId="210">
    <w:name w:val="Table Paragraph"/>
    <w:basedOn w:val="1"/>
    <w:autoRedefine/>
    <w:qFormat/>
    <w:uiPriority w:val="1"/>
  </w:style>
  <w:style w:type="character" w:customStyle="1" w:styleId="211">
    <w:name w:val="fontstyle01"/>
    <w:basedOn w:val="33"/>
    <w:autoRedefine/>
    <w:qFormat/>
    <w:uiPriority w:val="0"/>
    <w:rPr>
      <w:rFonts w:hint="eastAsia" w:ascii="宋体" w:hAnsi="宋体" w:eastAsia="宋体"/>
      <w:color w:val="000000"/>
      <w:sz w:val="18"/>
      <w:szCs w:val="18"/>
    </w:rPr>
  </w:style>
  <w:style w:type="character" w:customStyle="1" w:styleId="212">
    <w:name w:val="fontstyle21"/>
    <w:basedOn w:val="33"/>
    <w:autoRedefine/>
    <w:qFormat/>
    <w:uiPriority w:val="0"/>
    <w:rPr>
      <w:rFonts w:hint="default" w:ascii="TimesNewRomanPSMT" w:hAnsi="TimesNewRomanPSMT"/>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8652</Words>
  <Characters>9650</Characters>
  <Lines>12</Lines>
  <Paragraphs>17</Paragraphs>
  <TotalTime>6</TotalTime>
  <ScaleCrop>false</ScaleCrop>
  <LinksUpToDate>false</LinksUpToDate>
  <CharactersWithSpaces>9822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2024-06-04T01:08:09Z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F52D24A478984F87A5CFA8D6073A2D72_13</vt:lpwstr>
  </property>
</Properties>
</file>