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ACT等设备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07</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left="957" w:leftChars="456" w:firstLine="0" w:firstLineChars="0"/>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包件一：ACT</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bidi="ar-SA"/>
        </w:rPr>
        <w:t>包件二: 电子控温系统</w:t>
      </w:r>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包件三：临时体外起搏器</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静安区芷江中路274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芷江中路274</w:t>
      </w:r>
      <w:r>
        <w:rPr>
          <w:rFonts w:hint="eastAsia" w:ascii="宋体" w:hAnsi="宋体" w:eastAsia="宋体" w:cs="Times New Roman"/>
          <w:sz w:val="24"/>
          <w:szCs w:val="24"/>
        </w:rPr>
        <w:t>号号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ACT等设备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ACT等设备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包件二五除外</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包件二除外</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04</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另行通知</w:t>
            </w:r>
            <w:bookmarkStart w:id="19" w:name="_GoBack"/>
            <w:bookmarkEnd w:id="19"/>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静安区芷江中路274</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静安区芷江中路274</w:t>
            </w:r>
            <w:r>
              <w:rPr>
                <w:rFonts w:hint="eastAsia" w:ascii="宋体" w:hAnsi="宋体" w:eastAsia="宋体" w:cs="Times New Roman"/>
                <w:sz w:val="24"/>
                <w:szCs w:val="24"/>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ACT</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测试项目：ACT+、APTT、PT、INR、ACT-LR</w:t>
      </w:r>
      <w:r>
        <w:rPr>
          <w:rFonts w:hint="eastAsia" w:ascii="宋体" w:hAnsi="宋体" w:eastAsia="宋体" w:cs="宋体"/>
          <w:b w:val="0"/>
          <w:bCs w:val="0"/>
          <w:color w:val="000000"/>
          <w:spacing w:val="0"/>
          <w:w w:val="100"/>
          <w:position w:val="0"/>
          <w:sz w:val="24"/>
          <w:szCs w:val="24"/>
          <w:lang w:val="en-US" w:eastAsia="zh-CN"/>
        </w:rPr>
        <w:t>等。</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检测原理：真实纤维蛋白凝固终点。</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测试精度：CV</w:t>
      </w:r>
      <w:r>
        <w:rPr>
          <w:rFonts w:hint="eastAsia" w:ascii="宋体" w:hAnsi="宋体" w:eastAsia="宋体" w:cs="宋体"/>
          <w:b w:val="0"/>
          <w:bCs w:val="0"/>
          <w:color w:val="000000"/>
          <w:spacing w:val="0"/>
          <w:w w:val="100"/>
          <w:position w:val="0"/>
          <w:sz w:val="24"/>
          <w:szCs w:val="24"/>
          <w:lang w:val="en-US" w:eastAsia="zh-CN"/>
        </w:rPr>
        <w:t>≤</w:t>
      </w:r>
      <w:r>
        <w:rPr>
          <w:rFonts w:hint="eastAsia" w:ascii="宋体" w:hAnsi="宋体" w:eastAsia="宋体" w:cs="宋体"/>
          <w:b w:val="0"/>
          <w:bCs w:val="0"/>
          <w:color w:val="000000"/>
          <w:spacing w:val="0"/>
          <w:w w:val="100"/>
          <w:position w:val="0"/>
          <w:sz w:val="24"/>
          <w:szCs w:val="24"/>
          <w:lang w:eastAsia="zh-CN"/>
        </w:rPr>
        <w:t>10% 。</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样本类型：新鲜全血。</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用血量：≤50微升/每次。</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加样方式：注射器。</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测试范围：0-1005秒。</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测试时间：≤5分钟 。</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val="en-US" w:eastAsia="zh-CN"/>
        </w:rPr>
        <w:t>具有</w:t>
      </w:r>
      <w:r>
        <w:rPr>
          <w:rFonts w:hint="eastAsia" w:ascii="宋体" w:hAnsi="宋体" w:eastAsia="宋体" w:cs="宋体"/>
          <w:b w:val="0"/>
          <w:bCs w:val="0"/>
          <w:color w:val="000000"/>
          <w:spacing w:val="0"/>
          <w:w w:val="100"/>
          <w:position w:val="0"/>
          <w:sz w:val="24"/>
          <w:szCs w:val="24"/>
          <w:lang w:eastAsia="zh-CN"/>
        </w:rPr>
        <w:t>开机自动自检</w:t>
      </w:r>
      <w:r>
        <w:rPr>
          <w:rFonts w:hint="eastAsia" w:ascii="宋体" w:hAnsi="宋体" w:eastAsia="宋体" w:cs="宋体"/>
          <w:b w:val="0"/>
          <w:bCs w:val="0"/>
          <w:color w:val="000000"/>
          <w:spacing w:val="0"/>
          <w:w w:val="100"/>
          <w:position w:val="0"/>
          <w:sz w:val="24"/>
          <w:szCs w:val="24"/>
          <w:lang w:val="en-US" w:eastAsia="zh-CN"/>
        </w:rPr>
        <w:t>功能</w:t>
      </w:r>
      <w:r>
        <w:rPr>
          <w:rFonts w:hint="eastAsia" w:ascii="宋体" w:hAnsi="宋体" w:eastAsia="宋体" w:cs="宋体"/>
          <w:b w:val="0"/>
          <w:bCs w:val="0"/>
          <w:color w:val="000000"/>
          <w:spacing w:val="0"/>
          <w:w w:val="100"/>
          <w:position w:val="0"/>
          <w:sz w:val="24"/>
          <w:szCs w:val="24"/>
          <w:lang w:eastAsia="zh-CN"/>
        </w:rPr>
        <w:t>，无需预先标定。</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反应温度：37±1℃。</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升至反应温度时间：</w:t>
      </w:r>
      <w:r>
        <w:rPr>
          <w:rFonts w:hint="eastAsia" w:ascii="宋体" w:hAnsi="宋体" w:eastAsia="宋体" w:cs="宋体"/>
          <w:b w:val="0"/>
          <w:bCs w:val="0"/>
          <w:color w:val="000000"/>
          <w:spacing w:val="0"/>
          <w:w w:val="100"/>
          <w:position w:val="0"/>
          <w:sz w:val="24"/>
          <w:szCs w:val="24"/>
          <w:lang w:val="en-US" w:eastAsia="zh-CN"/>
        </w:rPr>
        <w:t>范围包含</w:t>
      </w:r>
      <w:r>
        <w:rPr>
          <w:rFonts w:hint="eastAsia" w:ascii="宋体" w:hAnsi="宋体" w:eastAsia="宋体" w:cs="宋体"/>
          <w:b w:val="0"/>
          <w:bCs w:val="0"/>
          <w:color w:val="000000"/>
          <w:spacing w:val="0"/>
          <w:w w:val="100"/>
          <w:position w:val="0"/>
          <w:sz w:val="24"/>
          <w:szCs w:val="24"/>
          <w:lang w:eastAsia="zh-CN"/>
        </w:rPr>
        <w:t>30-90秒。</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检测结果不受抑肽酶、低温、血液稀释的影响。</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存储量</w:t>
      </w:r>
      <w:r>
        <w:rPr>
          <w:rFonts w:hint="eastAsia" w:ascii="宋体" w:hAnsi="宋体" w:eastAsia="宋体" w:cs="宋体"/>
          <w:b w:val="0"/>
          <w:bCs w:val="0"/>
          <w:color w:val="000000"/>
          <w:spacing w:val="0"/>
          <w:w w:val="100"/>
          <w:position w:val="0"/>
          <w:sz w:val="24"/>
          <w:szCs w:val="24"/>
          <w:lang w:val="en-US" w:eastAsia="zh-CN"/>
        </w:rPr>
        <w:t>≥</w:t>
      </w:r>
      <w:r>
        <w:rPr>
          <w:rFonts w:hint="eastAsia" w:ascii="宋体" w:hAnsi="宋体" w:eastAsia="宋体" w:cs="宋体"/>
          <w:b w:val="0"/>
          <w:bCs w:val="0"/>
          <w:color w:val="000000"/>
          <w:spacing w:val="0"/>
          <w:w w:val="100"/>
          <w:position w:val="0"/>
          <w:sz w:val="24"/>
          <w:szCs w:val="24"/>
          <w:lang w:eastAsia="zh-CN"/>
        </w:rPr>
        <w:t>600个患者记录和QC记录。</w:t>
      </w:r>
    </w:p>
    <w:p>
      <w:pPr>
        <w:pStyle w:val="210"/>
        <w:numPr>
          <w:ilvl w:val="0"/>
          <w:numId w:val="4"/>
        </w:numPr>
        <w:spacing w:line="360" w:lineRule="auto"/>
        <w:ind w:left="425" w:leftChars="0" w:hanging="425" w:firstLineChars="0"/>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val="en-US" w:eastAsia="zh-CN"/>
        </w:rPr>
        <w:t>具备</w:t>
      </w:r>
      <w:r>
        <w:rPr>
          <w:rFonts w:hint="eastAsia" w:ascii="宋体" w:hAnsi="宋体" w:eastAsia="宋体" w:cs="宋体"/>
          <w:b w:val="0"/>
          <w:bCs w:val="0"/>
          <w:color w:val="000000"/>
          <w:spacing w:val="0"/>
          <w:w w:val="100"/>
          <w:position w:val="0"/>
          <w:sz w:val="24"/>
          <w:szCs w:val="24"/>
          <w:lang w:eastAsia="zh-CN"/>
        </w:rPr>
        <w:t>内置条码阅读器，可网络上传数据。</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Times New Roman"/>
          <w:sz w:val="24"/>
          <w:szCs w:val="20"/>
          <w:highlight w:val="none"/>
        </w:rPr>
        <w:t>★</w:t>
      </w:r>
      <w:r>
        <w:rPr>
          <w:rFonts w:hint="eastAsia" w:ascii="宋体" w:hAnsi="宋体" w:eastAsia="宋体" w:cs="宋体"/>
          <w:b w:val="0"/>
          <w:bCs w:val="0"/>
          <w:sz w:val="24"/>
          <w:szCs w:val="24"/>
          <w:lang w:eastAsia="zh-CN"/>
        </w:rPr>
        <w:t>原厂整机质保≥</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lang w:val="en-US" w:eastAsia="zh-CN"/>
        </w:rPr>
        <w:t>出保后费率≤3%。</w:t>
      </w: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bidi="ar-SA"/>
        </w:rPr>
        <w:t>电子控温系统</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0"/>
        </w:numPr>
        <w:spacing w:line="360" w:lineRule="auto"/>
        <w:ind w:leftChars="0"/>
        <w:rPr>
          <w:rFonts w:ascii="宋体" w:hAnsi="宋体" w:eastAsia="宋体"/>
          <w:b w:val="0"/>
          <w:bCs w:val="0"/>
          <w:sz w:val="24"/>
          <w:szCs w:val="24"/>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6"/>
        </w:numPr>
        <w:spacing w:line="360" w:lineRule="auto"/>
        <w:ind w:left="425" w:leftChars="0" w:hanging="425" w:firstLineChars="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具备</w:t>
      </w:r>
      <w:r>
        <w:rPr>
          <w:rFonts w:hint="eastAsia" w:ascii="宋体" w:hAnsi="宋体" w:eastAsia="宋体" w:cs="宋体"/>
          <w:b w:val="0"/>
          <w:bCs/>
          <w:sz w:val="24"/>
          <w:szCs w:val="24"/>
        </w:rPr>
        <w:t>旋转式压缩机</w:t>
      </w:r>
      <w:r>
        <w:rPr>
          <w:rFonts w:hint="eastAsia" w:ascii="宋体" w:hAnsi="宋体" w:eastAsia="宋体" w:cs="宋体"/>
          <w:b w:val="0"/>
          <w:bCs/>
          <w:sz w:val="24"/>
          <w:szCs w:val="24"/>
          <w:lang w:eastAsia="zh-CN"/>
        </w:rPr>
        <w:t>。</w:t>
      </w:r>
    </w:p>
    <w:p>
      <w:pPr>
        <w:numPr>
          <w:ilvl w:val="0"/>
          <w:numId w:val="6"/>
        </w:numPr>
        <w:spacing w:line="360" w:lineRule="auto"/>
        <w:ind w:left="425" w:leftChars="0" w:hanging="425" w:firstLineChars="0"/>
        <w:rPr>
          <w:rFonts w:hint="eastAsia" w:ascii="宋体" w:hAnsi="宋体" w:eastAsia="宋体" w:cs="宋体"/>
          <w:b w:val="0"/>
          <w:bCs/>
          <w:sz w:val="24"/>
          <w:szCs w:val="24"/>
        </w:rPr>
      </w:pPr>
      <w:bookmarkStart w:id="16" w:name="_Hlk120558218"/>
      <w:r>
        <w:rPr>
          <w:rFonts w:hint="eastAsia" w:ascii="宋体" w:hAnsi="宋体" w:eastAsia="宋体" w:cs="宋体"/>
          <w:b w:val="0"/>
          <w:bCs/>
          <w:sz w:val="24"/>
          <w:szCs w:val="24"/>
        </w:rPr>
        <w:t>空载水温从25℃降至10℃</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10min，负载制冷最大平均速率≥3℃/h。</w:t>
      </w:r>
      <w:bookmarkEnd w:id="16"/>
    </w:p>
    <w:p>
      <w:pPr>
        <w:numPr>
          <w:ilvl w:val="0"/>
          <w:numId w:val="6"/>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PTC电子加热器，升温系统满足YY0834-2011《医用电气设备第二部分：医用电热毯、电热垫和电热床安全专用要求》。</w:t>
      </w:r>
    </w:p>
    <w:p>
      <w:pPr>
        <w:numPr>
          <w:ilvl w:val="0"/>
          <w:numId w:val="6"/>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空载水温从30℃升至40℃</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10min，负载制热最大平均速率≥1.5℃/h。</w:t>
      </w:r>
    </w:p>
    <w:p>
      <w:pPr>
        <w:numPr>
          <w:ilvl w:val="0"/>
          <w:numId w:val="6"/>
        </w:numPr>
        <w:spacing w:line="360" w:lineRule="auto"/>
        <w:ind w:left="425" w:leftChars="0" w:hanging="425" w:firstLineChars="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具备</w:t>
      </w:r>
      <w:r>
        <w:rPr>
          <w:rFonts w:hint="eastAsia" w:ascii="宋体" w:hAnsi="宋体" w:eastAsia="宋体" w:cs="宋体"/>
          <w:b w:val="0"/>
          <w:bCs/>
          <w:sz w:val="24"/>
          <w:szCs w:val="24"/>
        </w:rPr>
        <w:t>内置止水阀门快速接口</w:t>
      </w:r>
      <w:r>
        <w:rPr>
          <w:rFonts w:hint="eastAsia" w:ascii="宋体" w:hAnsi="宋体" w:eastAsia="宋体" w:cs="宋体"/>
          <w:b w:val="0"/>
          <w:bCs/>
          <w:sz w:val="24"/>
          <w:szCs w:val="24"/>
          <w:lang w:eastAsia="zh-CN"/>
        </w:rPr>
        <w:t>。</w:t>
      </w:r>
    </w:p>
    <w:p>
      <w:pPr>
        <w:numPr>
          <w:ilvl w:val="0"/>
          <w:numId w:val="6"/>
        </w:numPr>
        <w:spacing w:line="360" w:lineRule="auto"/>
        <w:ind w:left="425" w:leftChars="0" w:hanging="425" w:firstLineChars="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具备</w:t>
      </w:r>
      <w:r>
        <w:rPr>
          <w:rFonts w:hint="eastAsia" w:ascii="宋体" w:hAnsi="宋体" w:eastAsia="宋体" w:cs="宋体"/>
          <w:b w:val="0"/>
          <w:bCs/>
          <w:sz w:val="24"/>
          <w:szCs w:val="24"/>
        </w:rPr>
        <w:t>4路输出输入，可同时接驳4套附件</w:t>
      </w:r>
      <w:r>
        <w:rPr>
          <w:rFonts w:hint="eastAsia" w:ascii="宋体" w:hAnsi="宋体" w:eastAsia="宋体" w:cs="宋体"/>
          <w:b w:val="0"/>
          <w:bCs/>
          <w:sz w:val="24"/>
          <w:szCs w:val="24"/>
          <w:lang w:eastAsia="zh-CN"/>
        </w:rPr>
        <w:t>。</w:t>
      </w:r>
    </w:p>
    <w:p>
      <w:pPr>
        <w:numPr>
          <w:ilvl w:val="0"/>
          <w:numId w:val="6"/>
        </w:numPr>
        <w:spacing w:line="360" w:lineRule="auto"/>
        <w:ind w:left="425" w:leftChars="0" w:hanging="425" w:firstLineChars="0"/>
        <w:rPr>
          <w:rFonts w:hint="eastAsia" w:ascii="宋体" w:hAnsi="宋体" w:eastAsia="宋体" w:cs="宋体"/>
          <w:b w:val="0"/>
          <w:bCs/>
          <w:sz w:val="24"/>
          <w:szCs w:val="24"/>
          <w:lang w:eastAsia="zh-CN"/>
        </w:rPr>
      </w:pPr>
      <w:r>
        <w:rPr>
          <w:rFonts w:hint="eastAsia" w:ascii="宋体" w:hAnsi="宋体" w:eastAsia="宋体" w:cs="宋体"/>
          <w:b w:val="0"/>
          <w:bCs/>
          <w:sz w:val="24"/>
          <w:szCs w:val="24"/>
        </w:rPr>
        <w:t>静音磁力循环水泵，所有循环组件为非腐蚀性材料</w:t>
      </w:r>
      <w:r>
        <w:rPr>
          <w:rFonts w:hint="eastAsia" w:ascii="宋体" w:hAnsi="宋体" w:eastAsia="宋体" w:cs="宋体"/>
          <w:b w:val="0"/>
          <w:bCs/>
          <w:sz w:val="24"/>
          <w:szCs w:val="24"/>
          <w:lang w:eastAsia="zh-CN"/>
        </w:rPr>
        <w:t>。</w:t>
      </w:r>
    </w:p>
    <w:p>
      <w:pPr>
        <w:numPr>
          <w:ilvl w:val="0"/>
          <w:numId w:val="6"/>
        </w:numPr>
        <w:spacing w:line="360" w:lineRule="auto"/>
        <w:ind w:left="425" w:leftChars="0" w:hanging="425" w:firstLineChars="0"/>
        <w:rPr>
          <w:rFonts w:hint="eastAsia" w:ascii="宋体" w:hAnsi="宋体" w:eastAsia="宋体" w:cs="宋体"/>
          <w:b w:val="0"/>
          <w:bCs/>
          <w:sz w:val="24"/>
          <w:szCs w:val="24"/>
          <w:lang w:eastAsia="zh-CN"/>
        </w:rPr>
      </w:pPr>
      <w:r>
        <w:rPr>
          <w:rFonts w:hint="eastAsia" w:ascii="宋体" w:hAnsi="宋体" w:eastAsia="宋体" w:cs="宋体"/>
          <w:b w:val="0"/>
          <w:bCs/>
          <w:sz w:val="24"/>
          <w:szCs w:val="24"/>
        </w:rPr>
        <w:t>微处理器控制数字LED显示</w:t>
      </w:r>
      <w:r>
        <w:rPr>
          <w:rFonts w:hint="eastAsia" w:ascii="宋体" w:hAnsi="宋体" w:eastAsia="宋体" w:cs="宋体"/>
          <w:b w:val="0"/>
          <w:bCs/>
          <w:sz w:val="24"/>
          <w:szCs w:val="24"/>
          <w:lang w:eastAsia="zh-CN"/>
        </w:rPr>
        <w:t>。</w:t>
      </w:r>
    </w:p>
    <w:p>
      <w:pPr>
        <w:numPr>
          <w:ilvl w:val="0"/>
          <w:numId w:val="6"/>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水温设定</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范围</w:t>
      </w:r>
      <w:r>
        <w:rPr>
          <w:rFonts w:hint="eastAsia" w:ascii="宋体" w:hAnsi="宋体" w:eastAsia="宋体" w:cs="宋体"/>
          <w:b w:val="0"/>
          <w:bCs/>
          <w:sz w:val="24"/>
          <w:szCs w:val="24"/>
          <w:lang w:val="en-US" w:eastAsia="zh-CN"/>
        </w:rPr>
        <w:t>包含</w:t>
      </w:r>
      <w:r>
        <w:rPr>
          <w:rFonts w:hint="eastAsia" w:ascii="宋体" w:hAnsi="宋体" w:eastAsia="宋体" w:cs="宋体"/>
          <w:b w:val="0"/>
          <w:bCs/>
          <w:sz w:val="24"/>
          <w:szCs w:val="24"/>
        </w:rPr>
        <w:t>4—40℃，水温显示精度：</w:t>
      </w:r>
      <w:r>
        <w:rPr>
          <w:rFonts w:hint="eastAsia" w:ascii="宋体" w:hAnsi="宋体" w:eastAsia="宋体"/>
          <w:b w:val="0"/>
          <w:bCs w:val="0"/>
          <w:sz w:val="24"/>
          <w:szCs w:val="24"/>
          <w:lang w:val="en-US" w:eastAsia="zh-CN"/>
        </w:rPr>
        <w:t>≤</w:t>
      </w:r>
      <w:r>
        <w:rPr>
          <w:rFonts w:hint="eastAsia" w:ascii="宋体" w:hAnsi="宋体" w:eastAsia="宋体" w:cs="宋体"/>
          <w:b w:val="0"/>
          <w:bCs/>
          <w:sz w:val="24"/>
          <w:szCs w:val="24"/>
        </w:rPr>
        <w:t>0.1℃，水温探头测量精度：±1℃。</w:t>
      </w:r>
    </w:p>
    <w:p>
      <w:pPr>
        <w:numPr>
          <w:ilvl w:val="0"/>
          <w:numId w:val="6"/>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体温设定</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范围</w:t>
      </w:r>
      <w:r>
        <w:rPr>
          <w:rFonts w:hint="eastAsia" w:ascii="宋体" w:hAnsi="宋体" w:eastAsia="宋体" w:cs="宋体"/>
          <w:b w:val="0"/>
          <w:bCs/>
          <w:sz w:val="24"/>
          <w:szCs w:val="24"/>
          <w:lang w:val="en-US" w:eastAsia="zh-CN"/>
        </w:rPr>
        <w:t>包含</w:t>
      </w:r>
      <w:r>
        <w:rPr>
          <w:rFonts w:hint="eastAsia" w:ascii="宋体" w:hAnsi="宋体" w:eastAsia="宋体" w:cs="宋体"/>
          <w:b w:val="0"/>
          <w:bCs/>
          <w:sz w:val="24"/>
          <w:szCs w:val="24"/>
        </w:rPr>
        <w:t>30—40℃，体温显示精度：</w:t>
      </w:r>
      <w:r>
        <w:rPr>
          <w:rFonts w:hint="eastAsia" w:ascii="宋体" w:hAnsi="宋体" w:eastAsia="宋体"/>
          <w:b w:val="0"/>
          <w:bCs w:val="0"/>
          <w:sz w:val="24"/>
          <w:szCs w:val="24"/>
          <w:lang w:val="en-US" w:eastAsia="zh-CN"/>
        </w:rPr>
        <w:t>≤</w:t>
      </w:r>
      <w:r>
        <w:rPr>
          <w:rFonts w:hint="eastAsia" w:ascii="宋体" w:hAnsi="宋体" w:eastAsia="宋体" w:cs="宋体"/>
          <w:b w:val="0"/>
          <w:bCs/>
          <w:sz w:val="24"/>
          <w:szCs w:val="24"/>
        </w:rPr>
        <w:t>0.1℃，体温探头测量精度：±0.2℃。</w:t>
      </w:r>
    </w:p>
    <w:p>
      <w:pPr>
        <w:numPr>
          <w:ilvl w:val="0"/>
          <w:numId w:val="6"/>
        </w:numPr>
        <w:spacing w:line="360" w:lineRule="auto"/>
        <w:ind w:left="425" w:leftChars="0" w:hanging="425" w:firstLineChars="0"/>
        <w:rPr>
          <w:rFonts w:hint="eastAsia" w:ascii="宋体" w:hAnsi="宋体" w:eastAsia="宋体" w:cs="宋体"/>
          <w:b w:val="0"/>
          <w:bCs/>
          <w:sz w:val="24"/>
          <w:szCs w:val="24"/>
          <w:lang w:eastAsia="zh-CN"/>
        </w:rPr>
      </w:pPr>
      <w:r>
        <w:rPr>
          <w:rFonts w:hint="eastAsia" w:ascii="宋体" w:hAnsi="宋体" w:eastAsia="宋体" w:cs="宋体"/>
          <w:b w:val="0"/>
          <w:bCs/>
          <w:sz w:val="24"/>
          <w:szCs w:val="24"/>
        </w:rPr>
        <w:t>毯子作用面承载压力：≤150kg水循环正常</w:t>
      </w:r>
      <w:r>
        <w:rPr>
          <w:rFonts w:hint="eastAsia" w:ascii="宋体" w:hAnsi="宋体" w:eastAsia="宋体" w:cs="宋体"/>
          <w:b w:val="0"/>
          <w:bCs/>
          <w:sz w:val="24"/>
          <w:szCs w:val="24"/>
          <w:lang w:eastAsia="zh-CN"/>
        </w:rPr>
        <w:t>。</w:t>
      </w:r>
    </w:p>
    <w:p>
      <w:pPr>
        <w:numPr>
          <w:ilvl w:val="0"/>
          <w:numId w:val="6"/>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具有</w:t>
      </w:r>
      <w:r>
        <w:rPr>
          <w:rFonts w:hint="eastAsia" w:ascii="宋体" w:hAnsi="宋体" w:eastAsia="宋体" w:cs="宋体"/>
          <w:b w:val="0"/>
          <w:bCs/>
          <w:sz w:val="24"/>
          <w:szCs w:val="24"/>
        </w:rPr>
        <w:t>温控故障报警、感温故障报警、循环故障报警、低液位报警、断电故障报警</w:t>
      </w:r>
      <w:r>
        <w:rPr>
          <w:rFonts w:hint="eastAsia" w:ascii="宋体" w:hAnsi="宋体" w:eastAsia="宋体" w:cs="宋体"/>
          <w:b w:val="0"/>
          <w:bCs/>
          <w:sz w:val="24"/>
          <w:szCs w:val="24"/>
          <w:lang w:val="en-US" w:eastAsia="zh-CN"/>
        </w:rPr>
        <w:t>等报警功能</w:t>
      </w:r>
      <w:r>
        <w:rPr>
          <w:rFonts w:hint="eastAsia" w:ascii="宋体" w:hAnsi="宋体" w:eastAsia="宋体" w:cs="宋体"/>
          <w:b w:val="0"/>
          <w:bCs/>
          <w:sz w:val="24"/>
          <w:szCs w:val="24"/>
        </w:rPr>
        <w:t>。</w:t>
      </w:r>
    </w:p>
    <w:p>
      <w:pPr>
        <w:numPr>
          <w:ilvl w:val="0"/>
          <w:numId w:val="6"/>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控制模式：</w:t>
      </w:r>
      <w:r>
        <w:rPr>
          <w:rFonts w:hint="eastAsia" w:ascii="宋体" w:hAnsi="宋体" w:eastAsia="宋体" w:cs="宋体"/>
          <w:b w:val="0"/>
          <w:bCs/>
          <w:sz w:val="24"/>
          <w:szCs w:val="24"/>
          <w:lang w:val="en-US" w:eastAsia="zh-CN"/>
        </w:rPr>
        <w:t>包含</w:t>
      </w:r>
      <w:r>
        <w:rPr>
          <w:rFonts w:hint="eastAsia" w:ascii="宋体" w:hAnsi="宋体" w:eastAsia="宋体" w:cs="宋体"/>
          <w:b w:val="0"/>
          <w:bCs/>
          <w:sz w:val="24"/>
          <w:szCs w:val="24"/>
        </w:rPr>
        <w:t>手动模式、自动模式、体温监测模式</w:t>
      </w:r>
      <w:r>
        <w:rPr>
          <w:rFonts w:hint="eastAsia" w:ascii="宋体" w:hAnsi="宋体" w:eastAsia="宋体" w:cs="宋体"/>
          <w:b w:val="0"/>
          <w:bCs/>
          <w:sz w:val="24"/>
          <w:szCs w:val="24"/>
          <w:lang w:val="en-US" w:eastAsia="zh-CN"/>
        </w:rPr>
        <w:t>等</w:t>
      </w:r>
      <w:r>
        <w:rPr>
          <w:rFonts w:hint="eastAsia" w:ascii="宋体" w:hAnsi="宋体" w:eastAsia="宋体" w:cs="宋体"/>
          <w:b w:val="0"/>
          <w:bCs/>
          <w:sz w:val="24"/>
          <w:szCs w:val="24"/>
        </w:rPr>
        <w:t>。</w:t>
      </w:r>
    </w:p>
    <w:p>
      <w:pPr>
        <w:numPr>
          <w:ilvl w:val="0"/>
          <w:numId w:val="6"/>
        </w:numPr>
        <w:spacing w:line="360" w:lineRule="auto"/>
        <w:ind w:left="425" w:leftChars="0" w:hanging="425" w:firstLineChars="0"/>
        <w:rPr>
          <w:rFonts w:hint="eastAsia" w:ascii="宋体" w:hAnsi="宋体" w:eastAsia="宋体" w:cs="宋体"/>
          <w:b w:val="0"/>
          <w:bCs/>
          <w:sz w:val="24"/>
          <w:szCs w:val="24"/>
          <w:lang w:eastAsia="zh-CN"/>
        </w:rPr>
      </w:pPr>
      <w:r>
        <w:rPr>
          <w:rFonts w:hint="eastAsia" w:ascii="宋体" w:hAnsi="宋体" w:eastAsia="宋体" w:cs="宋体"/>
          <w:b w:val="0"/>
          <w:bCs/>
          <w:sz w:val="24"/>
          <w:szCs w:val="24"/>
        </w:rPr>
        <w:t>噪声≤55dB</w:t>
      </w:r>
      <w:r>
        <w:rPr>
          <w:rFonts w:hint="eastAsia" w:ascii="宋体" w:hAnsi="宋体" w:eastAsia="宋体" w:cs="宋体"/>
          <w:b w:val="0"/>
          <w:bCs/>
          <w:sz w:val="24"/>
          <w:szCs w:val="24"/>
          <w:lang w:eastAsia="zh-CN"/>
        </w:rPr>
        <w:t>。</w:t>
      </w:r>
    </w:p>
    <w:p>
      <w:pPr>
        <w:numPr>
          <w:ilvl w:val="0"/>
          <w:numId w:val="6"/>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Times New Roman"/>
          <w:sz w:val="24"/>
          <w:szCs w:val="20"/>
          <w:highlight w:val="none"/>
        </w:rPr>
        <w:t>★</w:t>
      </w:r>
      <w:r>
        <w:rPr>
          <w:rFonts w:hint="eastAsia" w:ascii="宋体" w:hAnsi="宋体" w:eastAsia="宋体" w:cs="宋体"/>
          <w:b w:val="0"/>
          <w:bCs/>
          <w:sz w:val="24"/>
          <w:szCs w:val="24"/>
          <w:lang w:eastAsia="zh-CN"/>
        </w:rPr>
        <w:t>原厂整机质保≥</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lang w:eastAsia="zh-CN"/>
        </w:rPr>
        <w:t>年，</w:t>
      </w:r>
      <w:r>
        <w:rPr>
          <w:rFonts w:hint="eastAsia" w:ascii="宋体" w:hAnsi="宋体" w:eastAsia="宋体" w:cs="宋体"/>
          <w:b w:val="0"/>
          <w:bCs/>
          <w:sz w:val="24"/>
          <w:szCs w:val="24"/>
          <w:lang w:val="en-US" w:eastAsia="zh-CN"/>
        </w:rPr>
        <w:t>出保后费率≤3%。</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一、设备名称及数量：</w:t>
      </w:r>
      <w:r>
        <w:rPr>
          <w:rFonts w:hint="eastAsia" w:ascii="宋体" w:hAnsi="宋体" w:cs="宋体"/>
          <w:kern w:val="0"/>
          <w:sz w:val="24"/>
          <w:szCs w:val="24"/>
          <w:highlight w:val="none"/>
          <w:lang w:val="en-US" w:eastAsia="zh-CN" w:bidi="ar-SA"/>
        </w:rPr>
        <w:t>临时体外起搏器</w:t>
      </w:r>
      <w:r>
        <w:rPr>
          <w:rFonts w:hint="eastAsia" w:ascii="宋体" w:hAnsi="宋体" w:eastAsia="宋体" w:cs="宋体"/>
          <w:bCs/>
          <w:sz w:val="24"/>
          <w:szCs w:val="24"/>
        </w:rPr>
        <w:t>/</w:t>
      </w:r>
      <w:r>
        <w:rPr>
          <w:rFonts w:hint="eastAsia" w:ascii="宋体" w:hAnsi="宋体" w:eastAsia="宋体" w:cs="宋体"/>
          <w:bCs/>
          <w:sz w:val="24"/>
          <w:szCs w:val="24"/>
          <w:lang w:val="en-US" w:eastAsia="zh-CN"/>
        </w:rPr>
        <w:t>壹</w:t>
      </w:r>
      <w:r>
        <w:rPr>
          <w:rFonts w:hint="eastAsia" w:ascii="宋体" w:hAnsi="宋体" w:eastAsia="宋体" w:cs="宋体"/>
          <w:bCs/>
          <w:sz w:val="24"/>
          <w:szCs w:val="24"/>
        </w:rPr>
        <w:t>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二、交货时间：签订合同后30天内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三、货到验收合格后1个月内买方支付货款的100%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五、技术指标要求</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val="en-US" w:eastAsia="zh-CN"/>
        </w:rPr>
      </w:pPr>
      <w:r>
        <w:rPr>
          <w:rFonts w:hint="eastAsia" w:ascii="宋体" w:hAnsi="宋体" w:eastAsia="宋体" w:cs="宋体"/>
          <w:b w:val="0"/>
          <w:bCs/>
          <w:sz w:val="24"/>
          <w:szCs w:val="24"/>
          <w:lang w:val="en-US" w:eastAsia="zh-CN"/>
        </w:rPr>
        <w:t>起搏模式：</w:t>
      </w:r>
      <w:r>
        <w:rPr>
          <w:rFonts w:hint="eastAsia" w:ascii="宋体" w:hAnsi="宋体" w:eastAsia="宋体" w:cs="宋体"/>
          <w:b w:val="0"/>
          <w:bCs/>
          <w:color w:val="000000"/>
          <w:sz w:val="24"/>
          <w:szCs w:val="24"/>
        </w:rPr>
        <w:t>AAI，AOO，VVI，VOO</w:t>
      </w:r>
      <w:r>
        <w:rPr>
          <w:rFonts w:hint="eastAsia" w:ascii="宋体" w:hAnsi="宋体" w:eastAsia="宋体" w:cs="宋体"/>
          <w:b w:val="0"/>
          <w:bCs/>
          <w:color w:val="000000"/>
          <w:sz w:val="24"/>
          <w:szCs w:val="24"/>
          <w:lang w:val="en-US" w:eastAsia="zh-CN"/>
        </w:rPr>
        <w:t>等。</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起搏频率</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范围包含</w:t>
      </w:r>
      <w:r>
        <w:rPr>
          <w:rFonts w:hint="eastAsia" w:ascii="宋体" w:hAnsi="宋体" w:eastAsia="宋体" w:cs="宋体"/>
          <w:b w:val="0"/>
          <w:bCs/>
          <w:color w:val="000000"/>
          <w:sz w:val="24"/>
          <w:szCs w:val="24"/>
        </w:rPr>
        <w:t>30-200ppm</w:t>
      </w:r>
      <w:r>
        <w:rPr>
          <w:rFonts w:hint="eastAsia" w:ascii="宋体" w:hAnsi="宋体" w:eastAsia="宋体" w:cs="宋体"/>
          <w:b w:val="0"/>
          <w:bCs/>
          <w:color w:val="000000"/>
          <w:sz w:val="24"/>
          <w:szCs w:val="24"/>
          <w:lang w:eastAsia="zh-CN"/>
        </w:rPr>
        <w:t>。</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RAP频率</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范围包含</w:t>
      </w:r>
      <w:r>
        <w:rPr>
          <w:rFonts w:hint="eastAsia" w:ascii="宋体" w:hAnsi="宋体" w:eastAsia="宋体" w:cs="宋体"/>
          <w:b w:val="0"/>
          <w:bCs/>
          <w:color w:val="000000"/>
          <w:sz w:val="24"/>
          <w:szCs w:val="24"/>
        </w:rPr>
        <w:t>80-800ppm</w:t>
      </w:r>
      <w:r>
        <w:rPr>
          <w:rFonts w:hint="eastAsia" w:ascii="宋体" w:hAnsi="宋体" w:eastAsia="宋体" w:cs="宋体"/>
          <w:b w:val="0"/>
          <w:bCs/>
          <w:color w:val="000000"/>
          <w:sz w:val="24"/>
          <w:szCs w:val="24"/>
          <w:lang w:eastAsia="zh-CN"/>
        </w:rPr>
        <w:t>。</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val="it-IT" w:eastAsia="zh-CN"/>
        </w:rPr>
      </w:pPr>
      <w:r>
        <w:rPr>
          <w:rFonts w:hint="eastAsia" w:ascii="宋体" w:hAnsi="宋体" w:eastAsia="宋体" w:cs="宋体"/>
          <w:b w:val="0"/>
          <w:bCs/>
          <w:color w:val="000000"/>
          <w:sz w:val="24"/>
          <w:szCs w:val="24"/>
        </w:rPr>
        <w:t>输出脉冲幅度</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范围包含</w:t>
      </w:r>
      <w:r>
        <w:rPr>
          <w:rFonts w:hint="eastAsia" w:ascii="宋体" w:hAnsi="宋体" w:eastAsia="宋体" w:cs="宋体"/>
          <w:b w:val="0"/>
          <w:bCs/>
          <w:color w:val="000000"/>
          <w:sz w:val="24"/>
          <w:szCs w:val="24"/>
          <w:lang w:val="it-IT"/>
        </w:rPr>
        <w:t>0.1-25mA</w:t>
      </w:r>
      <w:r>
        <w:rPr>
          <w:rFonts w:hint="eastAsia" w:ascii="宋体" w:hAnsi="宋体" w:eastAsia="宋体" w:cs="宋体"/>
          <w:b w:val="0"/>
          <w:bCs/>
          <w:color w:val="000000"/>
          <w:sz w:val="24"/>
          <w:szCs w:val="24"/>
          <w:lang w:val="it-IT" w:eastAsia="zh-CN"/>
        </w:rPr>
        <w:t>。</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脉冲宽度</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1.5ms±10%</w:t>
      </w:r>
      <w:r>
        <w:rPr>
          <w:rFonts w:hint="eastAsia" w:ascii="宋体" w:hAnsi="宋体" w:eastAsia="宋体" w:cs="宋体"/>
          <w:b w:val="0"/>
          <w:bCs/>
          <w:color w:val="000000"/>
          <w:sz w:val="24"/>
          <w:szCs w:val="24"/>
          <w:lang w:eastAsia="zh-CN"/>
        </w:rPr>
        <w:t>。</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感知灵敏度</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范围包含</w:t>
      </w:r>
      <w:r>
        <w:rPr>
          <w:rFonts w:hint="eastAsia" w:ascii="宋体" w:hAnsi="宋体" w:eastAsia="宋体" w:cs="宋体"/>
          <w:b w:val="0"/>
          <w:bCs/>
          <w:color w:val="000000"/>
          <w:sz w:val="24"/>
          <w:szCs w:val="24"/>
        </w:rPr>
        <w:t>0.4-20mV</w:t>
      </w:r>
      <w:r>
        <w:rPr>
          <w:rFonts w:hint="eastAsia" w:ascii="宋体" w:hAnsi="宋体" w:eastAsia="宋体" w:cs="宋体"/>
          <w:b w:val="0"/>
          <w:bCs/>
          <w:color w:val="000000"/>
          <w:sz w:val="24"/>
          <w:szCs w:val="24"/>
          <w:lang w:eastAsia="zh-CN"/>
        </w:rPr>
        <w:t>。</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输入阻抗</w:t>
      </w:r>
      <w:r>
        <w:rPr>
          <w:rFonts w:hint="eastAsia" w:ascii="宋体" w:hAnsi="宋体" w:eastAsia="宋体" w:cs="宋体"/>
          <w:b w:val="0"/>
          <w:bCs/>
          <w:color w:val="000000"/>
          <w:sz w:val="24"/>
          <w:szCs w:val="24"/>
          <w:lang w:eastAsia="zh-CN"/>
        </w:rPr>
        <w:t>：</w:t>
      </w:r>
      <w:r>
        <w:rPr>
          <w:rFonts w:hint="eastAsia" w:ascii="宋体" w:hAnsi="宋体" w:cs="宋体"/>
          <w:b w:val="0"/>
          <w:bCs/>
          <w:color w:val="000000"/>
          <w:sz w:val="24"/>
          <w:szCs w:val="24"/>
          <w:lang w:val="en-US" w:eastAsia="zh-CN"/>
        </w:rPr>
        <w:t>≤</w:t>
      </w:r>
      <w:r>
        <w:rPr>
          <w:rFonts w:hint="eastAsia" w:ascii="宋体" w:hAnsi="宋体" w:eastAsia="宋体" w:cs="宋体"/>
          <w:b w:val="0"/>
          <w:bCs/>
          <w:color w:val="000000"/>
          <w:sz w:val="24"/>
          <w:szCs w:val="24"/>
        </w:rPr>
        <w:t>40000Ω</w:t>
      </w:r>
      <w:r>
        <w:rPr>
          <w:rFonts w:hint="eastAsia" w:ascii="宋体" w:hAnsi="宋体" w:eastAsia="宋体" w:cs="宋体"/>
          <w:b w:val="0"/>
          <w:bCs/>
          <w:color w:val="000000"/>
          <w:sz w:val="24"/>
          <w:szCs w:val="24"/>
          <w:lang w:eastAsia="zh-CN"/>
        </w:rPr>
        <w:t>。</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空白期</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起搏发生后</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200ms</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 xml:space="preserve">+5/-30ms </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感知发生后</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120ms</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+2/-30ms</w:t>
      </w:r>
      <w:r>
        <w:rPr>
          <w:rFonts w:hint="eastAsia" w:ascii="宋体" w:hAnsi="宋体" w:eastAsia="宋体" w:cs="宋体"/>
          <w:b w:val="0"/>
          <w:bCs/>
          <w:color w:val="000000"/>
          <w:sz w:val="24"/>
          <w:szCs w:val="24"/>
          <w:lang w:eastAsia="zh-CN"/>
        </w:rPr>
        <w:t>。</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频率上限</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≥200</w:t>
      </w:r>
      <w:r>
        <w:rPr>
          <w:rFonts w:hint="eastAsia" w:ascii="宋体" w:hAnsi="宋体" w:eastAsia="宋体" w:cs="宋体"/>
          <w:b w:val="0"/>
          <w:bCs/>
          <w:color w:val="000000"/>
          <w:sz w:val="24"/>
          <w:szCs w:val="24"/>
        </w:rPr>
        <w:t>ppm</w:t>
      </w:r>
      <w:r>
        <w:rPr>
          <w:rFonts w:hint="eastAsia" w:ascii="宋体" w:hAnsi="宋体" w:eastAsia="宋体" w:cs="宋体"/>
          <w:b w:val="0"/>
          <w:bCs/>
          <w:color w:val="000000"/>
          <w:sz w:val="24"/>
          <w:szCs w:val="24"/>
          <w:lang w:eastAsia="zh-CN"/>
        </w:rPr>
        <w:t>。</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具有屏幕显示功能，至少包含</w:t>
      </w:r>
      <w:r>
        <w:rPr>
          <w:rFonts w:hint="eastAsia" w:ascii="宋体" w:hAnsi="宋体" w:eastAsia="宋体" w:cs="宋体"/>
          <w:b w:val="0"/>
          <w:bCs/>
          <w:color w:val="000000"/>
          <w:sz w:val="24"/>
          <w:szCs w:val="24"/>
        </w:rPr>
        <w:t>心率、心室输出、模式、电池状态</w:t>
      </w:r>
      <w:r>
        <w:rPr>
          <w:rFonts w:hint="eastAsia" w:ascii="宋体" w:hAnsi="宋体" w:eastAsia="宋体" w:cs="宋体"/>
          <w:b w:val="0"/>
          <w:bCs/>
          <w:color w:val="000000"/>
          <w:sz w:val="24"/>
          <w:szCs w:val="24"/>
          <w:lang w:val="en-US" w:eastAsia="zh-CN"/>
        </w:rPr>
        <w:t>等显示。</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具有</w:t>
      </w:r>
      <w:r>
        <w:rPr>
          <w:rFonts w:hint="eastAsia" w:ascii="宋体" w:hAnsi="宋体" w:eastAsia="宋体" w:cs="宋体"/>
          <w:b w:val="0"/>
          <w:bCs/>
          <w:color w:val="000000"/>
          <w:sz w:val="24"/>
          <w:szCs w:val="24"/>
        </w:rPr>
        <w:t>心室起搏感知指示灯</w:t>
      </w:r>
      <w:r>
        <w:rPr>
          <w:rFonts w:hint="eastAsia" w:ascii="宋体" w:hAnsi="宋体" w:eastAsia="宋体" w:cs="宋体"/>
          <w:b w:val="0"/>
          <w:bCs/>
          <w:color w:val="000000"/>
          <w:sz w:val="24"/>
          <w:szCs w:val="24"/>
          <w:lang w:eastAsia="zh-CN"/>
        </w:rPr>
        <w:t>。</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电池使用寿命</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≥5天。</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取出电池后的运行</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sz w:val="24"/>
          <w:szCs w:val="24"/>
        </w:rPr>
        <w:t>30s</w:t>
      </w:r>
      <w:r>
        <w:rPr>
          <w:rFonts w:hint="eastAsia" w:ascii="宋体" w:hAnsi="宋体" w:eastAsia="宋体" w:cs="宋体"/>
          <w:b w:val="0"/>
          <w:bCs/>
          <w:sz w:val="24"/>
          <w:szCs w:val="24"/>
          <w:lang w:eastAsia="zh-CN"/>
        </w:rPr>
        <w:t>。</w:t>
      </w:r>
    </w:p>
    <w:p>
      <w:pPr>
        <w:numPr>
          <w:ilvl w:val="0"/>
          <w:numId w:val="7"/>
        </w:numPr>
        <w:spacing w:line="360" w:lineRule="auto"/>
        <w:ind w:left="425" w:leftChars="0" w:hanging="425" w:firstLineChars="0"/>
        <w:jc w:val="left"/>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安全性</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具有</w:t>
      </w:r>
      <w:r>
        <w:rPr>
          <w:rFonts w:hint="eastAsia" w:ascii="宋体" w:hAnsi="宋体" w:eastAsia="宋体" w:cs="宋体"/>
          <w:b w:val="0"/>
          <w:bCs/>
          <w:color w:val="000000"/>
          <w:sz w:val="24"/>
          <w:szCs w:val="24"/>
        </w:rPr>
        <w:t>电除颤保护、静电保护</w:t>
      </w:r>
      <w:r>
        <w:rPr>
          <w:rFonts w:hint="eastAsia" w:ascii="宋体" w:hAnsi="宋体" w:eastAsia="宋体" w:cs="宋体"/>
          <w:b w:val="0"/>
          <w:bCs/>
          <w:color w:val="000000"/>
          <w:sz w:val="24"/>
          <w:szCs w:val="24"/>
          <w:lang w:val="en-US" w:eastAsia="zh-CN"/>
        </w:rPr>
        <w:t>等。</w:t>
      </w:r>
    </w:p>
    <w:p>
      <w:pPr>
        <w:numPr>
          <w:ilvl w:val="0"/>
          <w:numId w:val="7"/>
        </w:numPr>
        <w:spacing w:line="360" w:lineRule="auto"/>
        <w:ind w:left="425" w:leftChars="0" w:hanging="425" w:firstLineChars="0"/>
        <w:jc w:val="left"/>
        <w:rPr>
          <w:rFonts w:hint="eastAsia" w:ascii="宋体" w:hAnsi="宋体" w:eastAsia="宋体" w:cs="宋体"/>
          <w:b w:val="0"/>
          <w:bCs/>
          <w:sz w:val="24"/>
          <w:szCs w:val="24"/>
        </w:rPr>
      </w:pPr>
      <w:r>
        <w:rPr>
          <w:rFonts w:hint="eastAsia" w:ascii="宋体" w:hAnsi="宋体" w:eastAsia="宋体" w:cs="Times New Roman"/>
          <w:sz w:val="24"/>
          <w:szCs w:val="20"/>
          <w:highlight w:val="none"/>
        </w:rPr>
        <w:t>★</w:t>
      </w:r>
      <w:r>
        <w:rPr>
          <w:rFonts w:hint="eastAsia" w:ascii="宋体" w:hAnsi="宋体" w:eastAsia="宋体" w:cs="宋体"/>
          <w:b w:val="0"/>
          <w:bCs/>
          <w:color w:val="auto"/>
          <w:sz w:val="24"/>
          <w:szCs w:val="24"/>
        </w:rPr>
        <w:t>原厂整机质保≥3年</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出保后≤5800元/年。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947B0F9"/>
    <w:multiLevelType w:val="singleLevel"/>
    <w:tmpl w:val="C947B0F9"/>
    <w:lvl w:ilvl="0" w:tentative="0">
      <w:start w:val="1"/>
      <w:numFmt w:val="decimal"/>
      <w:lvlText w:val="%1."/>
      <w:lvlJc w:val="left"/>
      <w:pPr>
        <w:ind w:left="425" w:hanging="425"/>
      </w:pPr>
      <w:rPr>
        <w:rFonts w:hint="default"/>
      </w:rPr>
    </w:lvl>
  </w:abstractNum>
  <w:abstractNum w:abstractNumId="3">
    <w:nsid w:val="04FDF0D4"/>
    <w:multiLevelType w:val="singleLevel"/>
    <w:tmpl w:val="04FDF0D4"/>
    <w:lvl w:ilvl="0" w:tentative="0">
      <w:start w:val="1"/>
      <w:numFmt w:val="decimal"/>
      <w:lvlText w:val="%1."/>
      <w:lvlJc w:val="left"/>
      <w:pPr>
        <w:ind w:left="425" w:hanging="425"/>
      </w:pPr>
      <w:rPr>
        <w:rFonts w:hint="default"/>
      </w:rPr>
    </w:lvl>
  </w:abstractNum>
  <w:abstractNum w:abstractNumId="4">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5">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690F682F"/>
    <w:multiLevelType w:val="singleLevel"/>
    <w:tmpl w:val="690F682F"/>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3E44EDE"/>
    <w:rsid w:val="145F55DA"/>
    <w:rsid w:val="19BC5BE6"/>
    <w:rsid w:val="19C855E6"/>
    <w:rsid w:val="19DC576F"/>
    <w:rsid w:val="1A5F06D7"/>
    <w:rsid w:val="1B09545F"/>
    <w:rsid w:val="1DBC650F"/>
    <w:rsid w:val="1E4F1A12"/>
    <w:rsid w:val="206F557C"/>
    <w:rsid w:val="21CA6472"/>
    <w:rsid w:val="22AA393E"/>
    <w:rsid w:val="24C25007"/>
    <w:rsid w:val="262A7ACF"/>
    <w:rsid w:val="271D349F"/>
    <w:rsid w:val="2B2963D3"/>
    <w:rsid w:val="2E095F27"/>
    <w:rsid w:val="2E287082"/>
    <w:rsid w:val="2E6E18BF"/>
    <w:rsid w:val="2E884201"/>
    <w:rsid w:val="2F2C5770"/>
    <w:rsid w:val="34EE008B"/>
    <w:rsid w:val="352B33FC"/>
    <w:rsid w:val="35805CB4"/>
    <w:rsid w:val="36CA3141"/>
    <w:rsid w:val="38593614"/>
    <w:rsid w:val="39301A51"/>
    <w:rsid w:val="3BBA5F47"/>
    <w:rsid w:val="3BF15DAC"/>
    <w:rsid w:val="3DA4759C"/>
    <w:rsid w:val="3DFE745B"/>
    <w:rsid w:val="3E2B711B"/>
    <w:rsid w:val="3E2D1012"/>
    <w:rsid w:val="3ED624C7"/>
    <w:rsid w:val="3F734081"/>
    <w:rsid w:val="409018AF"/>
    <w:rsid w:val="40E94034"/>
    <w:rsid w:val="412709D8"/>
    <w:rsid w:val="41627833"/>
    <w:rsid w:val="416D419A"/>
    <w:rsid w:val="421443FB"/>
    <w:rsid w:val="427239F0"/>
    <w:rsid w:val="43426C26"/>
    <w:rsid w:val="44E76487"/>
    <w:rsid w:val="4535060E"/>
    <w:rsid w:val="473A03ED"/>
    <w:rsid w:val="49584014"/>
    <w:rsid w:val="49B25227"/>
    <w:rsid w:val="4AFF1186"/>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070DE3"/>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autoRedefine/>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eastAsia="宋体" w:cs="Times New Roman"/>
      <w:szCs w:val="20"/>
    </w:rPr>
  </w:style>
  <w:style w:type="paragraph" w:styleId="12">
    <w:name w:val="Document Map"/>
    <w:basedOn w:val="1"/>
    <w:link w:val="202"/>
    <w:autoRedefine/>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autoRedefine/>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autoRedefine/>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autoRedefine/>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autoRedefine/>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autoRedefine/>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autoRedefine/>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autoRedefine/>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autoRedefine/>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autoRedefine/>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autoRedefine/>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autoRedefine/>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p15"/>
    <w:basedOn w:val="1"/>
    <w:autoRedefine/>
    <w:qFormat/>
    <w:uiPriority w:val="0"/>
    <w:pPr>
      <w:adjustRightInd w:val="0"/>
      <w:spacing w:after="0" w:line="240" w:lineRule="auto"/>
    </w:pPr>
    <w:rPr>
      <w:rFonts w:ascii="Arial Unicode MS" w:hAnsi="Arial Unicode MS" w:cs="宋体"/>
      <w:color w:val="000000"/>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8417</Words>
  <Characters>9199</Characters>
  <Lines>12</Lines>
  <Paragraphs>17</Paragraphs>
  <TotalTime>0</TotalTime>
  <ScaleCrop>false</ScaleCrop>
  <LinksUpToDate>false</LinksUpToDate>
  <CharactersWithSpaces>9344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2024-04-07T03:20:41Z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F52D24A478984F87A5CFA8D6073A2D72_13</vt:lpwstr>
  </property>
</Properties>
</file>