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eastAsia"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自身免疫性糖尿病抗体谱检测试剂盒等试剂项目</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4</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10</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24</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1</w:t>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12</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14</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5</w:t>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1"/>
      <w:bookmarkStart w:id="3" w:name="OLE_LINK16"/>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77"/>
      <w:bookmarkStart w:id="5"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包件一：自身免疫性糖尿病抗体谱检测试剂盒</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包件二：抗双链DNA(dsDNA)抗体检测试剂盒</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包件三：抗心磷脂抗体检测试剂盒</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包件四：呼吸道感染病原体抗体IgM检测试剂盒</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包件五：自身免疫性肝病抗体谱(IgG)检测试剂盒</w:t>
      </w:r>
    </w:p>
    <w:p>
      <w:pPr>
        <w:autoSpaceDE w:val="0"/>
        <w:autoSpaceDN w:val="0"/>
        <w:spacing w:line="360" w:lineRule="auto"/>
        <w:ind w:left="360" w:firstLine="1020" w:firstLineChars="425"/>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包件六：抗核抗体谱(IgG)检测试剂盒</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供应商可响应1个或多个包件</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rPr>
        <w:t>技术要求：见</w:t>
      </w:r>
      <w:r>
        <w:rPr>
          <w:rFonts w:hint="eastAsia" w:ascii="宋体" w:hAnsi="宋体" w:eastAsia="宋体" w:cs="宋体"/>
          <w:kern w:val="0"/>
          <w:sz w:val="24"/>
          <w:szCs w:val="24"/>
          <w:highlight w:val="none"/>
        </w:rPr>
        <w:t>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84"/>
      <w:bookmarkStart w:id="7" w:name="_Toc461613012"/>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24</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29</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7"/>
          <w:rFonts w:ascii="Times New Roman" w:hAnsi="Times New Roman" w:eastAsia="宋体"/>
          <w:sz w:val="24"/>
          <w:szCs w:val="24"/>
          <w:highlight w:val="none"/>
        </w:rPr>
        <w:t>https</w:t>
      </w:r>
      <w:r>
        <w:rPr>
          <w:rStyle w:val="37"/>
          <w:rFonts w:ascii="宋体" w:hAnsi="宋体" w:eastAsia="宋体"/>
          <w:sz w:val="24"/>
          <w:szCs w:val="24"/>
          <w:highlight w:val="none"/>
        </w:rPr>
        <w:t>://</w:t>
      </w:r>
      <w:r>
        <w:rPr>
          <w:rStyle w:val="37"/>
          <w:rFonts w:ascii="Times New Roman" w:hAnsi="Times New Roman" w:eastAsia="宋体"/>
          <w:sz w:val="24"/>
          <w:szCs w:val="24"/>
          <w:highlight w:val="none"/>
        </w:rPr>
        <w:t>www</w:t>
      </w:r>
      <w:r>
        <w:rPr>
          <w:rStyle w:val="37"/>
          <w:rFonts w:ascii="宋体" w:hAnsi="宋体" w:eastAsia="宋体"/>
          <w:sz w:val="24"/>
          <w:szCs w:val="24"/>
          <w:highlight w:val="none"/>
        </w:rPr>
        <w:t>.</w:t>
      </w:r>
      <w:r>
        <w:rPr>
          <w:rStyle w:val="37"/>
          <w:rFonts w:ascii="Times New Roman" w:hAnsi="Times New Roman" w:eastAsia="宋体"/>
          <w:sz w:val="24"/>
          <w:szCs w:val="24"/>
          <w:highlight w:val="none"/>
        </w:rPr>
        <w:t>szy</w:t>
      </w:r>
      <w:r>
        <w:rPr>
          <w:rStyle w:val="37"/>
          <w:rFonts w:ascii="宋体" w:hAnsi="宋体" w:eastAsia="宋体"/>
          <w:sz w:val="24"/>
          <w:szCs w:val="24"/>
          <w:highlight w:val="none"/>
        </w:rPr>
        <w:t>.</w:t>
      </w:r>
      <w:r>
        <w:rPr>
          <w:rStyle w:val="37"/>
          <w:rFonts w:ascii="Times New Roman" w:hAnsi="Times New Roman" w:eastAsia="宋体"/>
          <w:sz w:val="24"/>
          <w:szCs w:val="24"/>
          <w:highlight w:val="none"/>
        </w:rPr>
        <w:t>sh</w:t>
      </w:r>
      <w:r>
        <w:rPr>
          <w:rStyle w:val="37"/>
          <w:rFonts w:ascii="宋体" w:hAnsi="宋体" w:eastAsia="宋体"/>
          <w:sz w:val="24"/>
          <w:szCs w:val="24"/>
          <w:highlight w:val="none"/>
        </w:rPr>
        <w:t>.</w:t>
      </w:r>
      <w:r>
        <w:rPr>
          <w:rStyle w:val="37"/>
          <w:rFonts w:ascii="Times New Roman" w:hAnsi="Times New Roman" w:eastAsia="宋体"/>
          <w:sz w:val="24"/>
          <w:szCs w:val="24"/>
          <w:highlight w:val="none"/>
        </w:rPr>
        <w:t>cn</w:t>
      </w:r>
      <w:r>
        <w:rPr>
          <w:rStyle w:val="37"/>
          <w:rFonts w:ascii="宋体" w:hAnsi="宋体" w:eastAsia="宋体"/>
          <w:sz w:val="24"/>
          <w:szCs w:val="24"/>
          <w:highlight w:val="none"/>
        </w:rPr>
        <w:t>/</w:t>
      </w:r>
      <w:r>
        <w:rPr>
          <w:rStyle w:val="37"/>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4</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10</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29</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rPr>
      </w:pPr>
      <w:r>
        <w:rPr>
          <w:rFonts w:hint="eastAsia" w:ascii="宋体" w:hAnsi="宋体" w:eastAsia="宋体" w:cs="Times New Roman"/>
          <w:sz w:val="24"/>
          <w:szCs w:val="24"/>
        </w:rPr>
        <w:t>地点：中国上海市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4"/>
        </w:rPr>
        <w:t>号上海市中医医院采购处</w:t>
      </w:r>
    </w:p>
    <w:bookmarkEnd w:id="6"/>
    <w:bookmarkEnd w:id="7"/>
    <w:p>
      <w:pPr>
        <w:autoSpaceDE w:val="0"/>
        <w:autoSpaceDN w:val="0"/>
        <w:spacing w:line="360" w:lineRule="auto"/>
        <w:rPr>
          <w:rFonts w:ascii="宋体" w:hAnsi="宋体" w:eastAsia="宋体" w:cs="宋体"/>
          <w:kern w:val="0"/>
          <w:sz w:val="24"/>
          <w:szCs w:val="24"/>
        </w:rPr>
      </w:pPr>
      <w:r>
        <w:rPr>
          <w:rFonts w:hint="eastAsia" w:ascii="宋体" w:hAnsi="宋体" w:eastAsia="宋体" w:cs="宋体"/>
          <w:kern w:val="0"/>
          <w:sz w:val="24"/>
          <w:szCs w:val="24"/>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w:t>
      </w:r>
      <w:r>
        <w:rPr>
          <w:rFonts w:hint="eastAsia" w:ascii="宋体" w:hAnsi="宋体" w:eastAsia="宋体" w:cs="Times New Roman"/>
          <w:sz w:val="24"/>
          <w:szCs w:val="24"/>
          <w:lang w:val="en-US" w:eastAsia="zh-CN"/>
        </w:rPr>
        <w:t>嘉定区</w:t>
      </w:r>
      <w:r>
        <w:rPr>
          <w:rFonts w:hint="eastAsia" w:ascii="宋体" w:hAnsi="宋体" w:eastAsia="宋体" w:cs="Times New Roman"/>
          <w:sz w:val="24"/>
          <w:szCs w:val="20"/>
          <w:lang w:val="en-US" w:eastAsia="zh-CN"/>
        </w:rPr>
        <w:t>荣联路68</w:t>
      </w:r>
      <w:r>
        <w:rPr>
          <w:rFonts w:hint="eastAsia" w:ascii="宋体" w:hAnsi="宋体" w:eastAsia="宋体" w:cs="Times New Roman"/>
          <w:sz w:val="24"/>
          <w:szCs w:val="20"/>
        </w:rPr>
        <w:t>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w:t>
      </w:r>
      <w:r>
        <w:rPr>
          <w:rFonts w:hint="eastAsia" w:ascii="宋体" w:hAnsi="宋体" w:eastAsia="宋体" w:cs="Times New Roman"/>
          <w:sz w:val="24"/>
          <w:szCs w:val="20"/>
          <w:lang w:val="en-US" w:eastAsia="zh-CN"/>
        </w:rPr>
        <w:t>1822</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9066359"/>
      <w:bookmarkStart w:id="9" w:name="_Toc516880880"/>
      <w:bookmarkStart w:id="10" w:name="_Toc11326093"/>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1"/>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autoSpaceDE w:val="0"/>
              <w:autoSpaceDN w:val="0"/>
              <w:spacing w:line="360" w:lineRule="auto"/>
              <w:rPr>
                <w:rFonts w:hint="default" w:ascii="宋体" w:hAnsi="宋体" w:eastAsia="宋体" w:cs="宋体"/>
                <w:kern w:val="0"/>
                <w:sz w:val="24"/>
                <w:szCs w:val="24"/>
                <w:highlight w:val="none"/>
                <w:lang w:val="en-US"/>
              </w:rPr>
            </w:pPr>
            <w:r>
              <w:rPr>
                <w:rFonts w:hint="eastAsia" w:ascii="宋体" w:hAnsi="宋体" w:eastAsia="宋体" w:cs="Times New Roman"/>
                <w:sz w:val="24"/>
                <w:szCs w:val="20"/>
                <w:highlight w:val="none"/>
              </w:rPr>
              <w:t>项目名称：</w:t>
            </w:r>
            <w:r>
              <w:rPr>
                <w:rFonts w:hint="eastAsia" w:ascii="宋体" w:hAnsi="宋体" w:eastAsia="宋体" w:cs="宋体"/>
                <w:kern w:val="0"/>
                <w:sz w:val="24"/>
                <w:szCs w:val="24"/>
                <w:highlight w:val="none"/>
                <w:lang w:val="en-US" w:eastAsia="zh-CN"/>
              </w:rPr>
              <w:t>自身免疫性糖尿病抗体谱检测试剂盒等试剂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合同名称：</w:t>
            </w:r>
            <w:r>
              <w:rPr>
                <w:rFonts w:hint="eastAsia" w:ascii="宋体" w:hAnsi="宋体" w:eastAsia="宋体" w:cs="宋体"/>
                <w:kern w:val="0"/>
                <w:sz w:val="24"/>
                <w:szCs w:val="24"/>
                <w:highlight w:val="none"/>
                <w:lang w:val="en-US" w:eastAsia="zh-CN"/>
              </w:rPr>
              <w:t>自身免疫性糖尿病抗体谱检测试剂盒等试剂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.投标设备生产厂家的该</w:t>
            </w:r>
            <w:r>
              <w:rPr>
                <w:rFonts w:hint="eastAsia" w:ascii="宋体" w:hAnsi="宋体" w:eastAsia="宋体" w:cs="Times New Roman"/>
                <w:sz w:val="24"/>
                <w:szCs w:val="20"/>
                <w:highlight w:val="none"/>
                <w:lang w:eastAsia="zh-CN"/>
              </w:rPr>
              <w:t>货物</w:t>
            </w:r>
            <w:r>
              <w:rPr>
                <w:rFonts w:hint="eastAsia" w:ascii="宋体" w:hAnsi="宋体" w:eastAsia="宋体" w:cs="Times New Roman"/>
                <w:sz w:val="24"/>
                <w:szCs w:val="20"/>
                <w:highlight w:val="none"/>
              </w:rPr>
              <w:t>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）及</w:t>
            </w:r>
            <w:r>
              <w:rPr>
                <w:rFonts w:hint="eastAsia" w:ascii="宋体" w:hAnsi="宋体" w:eastAsia="宋体" w:cs="Times New Roman"/>
                <w:sz w:val="24"/>
                <w:szCs w:val="20"/>
                <w:highlight w:val="none"/>
                <w:lang w:eastAsia="zh-CN"/>
              </w:rPr>
              <w:t>货物</w:t>
            </w:r>
            <w:r>
              <w:rPr>
                <w:rFonts w:hint="eastAsia" w:ascii="宋体" w:hAnsi="宋体" w:eastAsia="宋体" w:cs="Times New Roman"/>
                <w:sz w:val="24"/>
                <w:szCs w:val="20"/>
                <w:highlight w:val="none"/>
              </w:rPr>
              <w:t>货号、制造商公开发布的彩色印刷</w:t>
            </w:r>
            <w:r>
              <w:rPr>
                <w:rFonts w:hint="eastAsia" w:ascii="宋体" w:hAnsi="宋体" w:eastAsia="宋体" w:cs="Times New Roman"/>
                <w:sz w:val="24"/>
                <w:szCs w:val="20"/>
                <w:highlight w:val="none"/>
                <w:lang w:eastAsia="zh-CN"/>
              </w:rPr>
              <w:t>货物</w:t>
            </w:r>
            <w:r>
              <w:rPr>
                <w:rFonts w:hint="eastAsia" w:ascii="宋体" w:hAnsi="宋体" w:eastAsia="宋体" w:cs="Times New Roman"/>
                <w:sz w:val="24"/>
                <w:szCs w:val="20"/>
                <w:highlight w:val="none"/>
              </w:rPr>
              <w:t>样本等技术资料</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9</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w:t>
            </w:r>
            <w:r>
              <w:rPr>
                <w:rFonts w:hint="eastAsia" w:ascii="宋体" w:hAnsi="宋体" w:eastAsia="宋体" w:cs="Times New Roman"/>
                <w:sz w:val="24"/>
                <w:szCs w:val="24"/>
                <w:highlight w:val="none"/>
                <w:lang w:eastAsia="zh-CN"/>
              </w:rPr>
              <w:t>货物</w:t>
            </w:r>
            <w:r>
              <w:rPr>
                <w:rFonts w:hint="eastAsia" w:ascii="宋体" w:hAnsi="宋体" w:eastAsia="宋体" w:cs="Times New Roman"/>
                <w:sz w:val="24"/>
                <w:szCs w:val="24"/>
                <w:highlight w:val="none"/>
              </w:rPr>
              <w:t>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w:t>
            </w:r>
            <w:r>
              <w:rPr>
                <w:rFonts w:hint="eastAsia" w:ascii="宋体" w:hAnsi="宋体" w:eastAsia="宋体" w:cs="Times New Roman"/>
                <w:sz w:val="24"/>
                <w:szCs w:val="24"/>
                <w:highlight w:val="none"/>
                <w:lang w:eastAsia="zh-CN"/>
              </w:rPr>
              <w:t>货物</w:t>
            </w:r>
            <w:r>
              <w:rPr>
                <w:rFonts w:hint="eastAsia" w:ascii="宋体" w:hAnsi="宋体" w:eastAsia="宋体" w:cs="Times New Roman"/>
                <w:sz w:val="24"/>
                <w:szCs w:val="24"/>
                <w:highlight w:val="none"/>
              </w:rPr>
              <w:t>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w:t>
            </w:r>
            <w:r>
              <w:rPr>
                <w:rFonts w:hint="eastAsia" w:ascii="宋体" w:hAnsi="宋体" w:eastAsia="宋体" w:cs="Times New Roman"/>
                <w:sz w:val="24"/>
                <w:szCs w:val="20"/>
                <w:highlight w:val="none"/>
                <w:lang w:val="en-US" w:eastAsia="zh-CN"/>
              </w:rPr>
              <w:t>货物</w:t>
            </w:r>
            <w:r>
              <w:rPr>
                <w:rFonts w:hint="eastAsia" w:ascii="宋体" w:hAnsi="宋体" w:eastAsia="宋体" w:cs="Times New Roman"/>
                <w:sz w:val="24"/>
                <w:szCs w:val="20"/>
                <w:highlight w:val="none"/>
              </w:rPr>
              <w:t>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（5）投标</w:t>
            </w:r>
            <w:r>
              <w:rPr>
                <w:rFonts w:hint="eastAsia" w:ascii="宋体" w:hAnsi="宋体" w:eastAsia="宋体" w:cs="Times New Roman"/>
                <w:sz w:val="24"/>
                <w:szCs w:val="20"/>
                <w:highlight w:val="none"/>
                <w:lang w:val="en-US" w:eastAsia="zh-CN"/>
              </w:rPr>
              <w:t>货物</w:t>
            </w:r>
            <w:r>
              <w:rPr>
                <w:rFonts w:ascii="宋体" w:hAnsi="宋体" w:eastAsia="宋体" w:cs="Times New Roman"/>
                <w:sz w:val="24"/>
                <w:szCs w:val="20"/>
                <w:highlight w:val="none"/>
              </w:rPr>
              <w:t>必须具有相应的《医疗器械生产企业许可证》或《医疗器械经营企业许可证》</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配套耗材无需</w:t>
            </w:r>
            <w:r>
              <w:rPr>
                <w:rFonts w:ascii="宋体" w:hAnsi="宋体" w:eastAsia="宋体" w:cs="Times New Roman"/>
                <w:sz w:val="24"/>
                <w:szCs w:val="20"/>
                <w:highlight w:val="none"/>
              </w:rPr>
              <w:t>《医疗器械生产企业许可证》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（6）投标</w:t>
            </w:r>
            <w:r>
              <w:rPr>
                <w:rFonts w:hint="eastAsia" w:ascii="宋体" w:hAnsi="宋体" w:eastAsia="宋体" w:cs="Times New Roman"/>
                <w:sz w:val="24"/>
                <w:szCs w:val="20"/>
                <w:highlight w:val="none"/>
                <w:lang w:eastAsia="zh-CN"/>
              </w:rPr>
              <w:t>货物</w:t>
            </w:r>
            <w:r>
              <w:rPr>
                <w:rFonts w:ascii="宋体" w:hAnsi="宋体" w:eastAsia="宋体" w:cs="Times New Roman"/>
                <w:sz w:val="24"/>
                <w:szCs w:val="20"/>
                <w:highlight w:val="none"/>
              </w:rPr>
              <w:t>需具备中华人民共和国国家食品药品和国家食品药品监督管理局颁发的开标之日在有效期内的《医疗器械</w:t>
            </w:r>
            <w:r>
              <w:rPr>
                <w:rFonts w:hint="eastAsia" w:ascii="宋体" w:hAnsi="宋体" w:eastAsia="宋体" w:cs="Times New Roman"/>
                <w:sz w:val="24"/>
                <w:szCs w:val="20"/>
                <w:highlight w:val="none"/>
                <w:lang w:eastAsia="zh-CN"/>
              </w:rPr>
              <w:t>货物</w:t>
            </w:r>
            <w:r>
              <w:rPr>
                <w:rFonts w:ascii="宋体" w:hAnsi="宋体" w:eastAsia="宋体" w:cs="Times New Roman"/>
                <w:sz w:val="24"/>
                <w:szCs w:val="20"/>
                <w:highlight w:val="none"/>
              </w:rPr>
              <w:t>注册证》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（9）投标人代表可以是法定代表人或被授权委托人。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w:t>
            </w:r>
            <w:r>
              <w:rPr>
                <w:rFonts w:hint="eastAsia" w:ascii="宋体" w:hAnsi="宋体" w:eastAsia="宋体" w:cs="Times New Roman"/>
                <w:sz w:val="24"/>
                <w:szCs w:val="20"/>
                <w:highlight w:val="none"/>
                <w:lang w:eastAsia="zh-CN"/>
              </w:rPr>
              <w:t>。。</w:t>
            </w:r>
          </w:p>
          <w:p>
            <w:pPr>
              <w:spacing w:line="360" w:lineRule="auto"/>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配套耗材无需</w:t>
            </w:r>
            <w:r>
              <w:rPr>
                <w:rFonts w:ascii="宋体" w:hAnsi="宋体" w:eastAsia="宋体" w:cs="Times New Roman"/>
                <w:sz w:val="24"/>
                <w:szCs w:val="20"/>
                <w:highlight w:val="none"/>
              </w:rPr>
              <w:t>《医疗器械生产企业许可证》</w:t>
            </w:r>
            <w:r>
              <w:rPr>
                <w:rFonts w:hint="eastAsia" w:ascii="宋体" w:hAnsi="宋体" w:eastAsia="宋体" w:cs="Times New Roman"/>
                <w:sz w:val="24"/>
                <w:szCs w:val="20"/>
                <w:highlight w:val="none"/>
                <w:lang w:eastAsia="zh-CN"/>
              </w:rPr>
              <w:t>。</w:t>
            </w:r>
            <w:bookmarkStart w:id="18" w:name="_GoBack"/>
            <w:bookmarkEnd w:id="18"/>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（5）投标人应是专业生产本次所需主系统设备的制造商或制造商唯一授权的参与本次投标的代理商，且应得到制造商针对本次投标项目的制造商授权书，授权书的有效期应至少与投标有效期一致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r>
              <w:rPr>
                <w:rFonts w:ascii="宋体" w:hAnsi="宋体" w:eastAsia="宋体" w:cs="Times New Roman"/>
                <w:strike/>
                <w:color w:val="00B0F0"/>
                <w:sz w:val="24"/>
                <w:szCs w:val="20"/>
                <w:highlight w:val="none"/>
              </w:rPr>
              <w:t xml:space="preserve"> </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（9）</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2</w:t>
            </w:r>
            <w:r>
              <w:rPr>
                <w:rFonts w:hint="eastAsia" w:ascii="宋体" w:hAnsi="宋体" w:eastAsia="宋体" w:cs="Times New Roman"/>
                <w:sz w:val="24"/>
                <w:szCs w:val="20"/>
                <w:highlight w:val="none"/>
              </w:rPr>
              <w:t>）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rPr>
              <w:t>）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9.2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投标文件的每一页都应由单位负责人或其授权代表用姓或首字母签字（包括样本等所有资料），否则其投标将被否决。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11</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05</w:t>
            </w:r>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地址：</w:t>
            </w:r>
            <w:r>
              <w:rPr>
                <w:rFonts w:hint="eastAsia" w:ascii="宋体" w:hAnsi="宋体" w:eastAsia="宋体" w:cs="Times New Roman"/>
                <w:sz w:val="24"/>
                <w:szCs w:val="20"/>
                <w:highlight w:val="none"/>
                <w:lang w:val="en-US" w:eastAsia="zh-CN"/>
              </w:rPr>
              <w:t>上海市嘉定区荣联路68号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4</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中标人的确定：综合排名第一的中标候选人为中标人。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w:t>
            </w:r>
            <w:r>
              <w:rPr>
                <w:rFonts w:hint="eastAsia" w:ascii="宋体" w:hAnsi="宋体" w:eastAsia="宋体" w:cs="Times New Roman"/>
                <w:sz w:val="24"/>
                <w:szCs w:val="24"/>
                <w:highlight w:val="none"/>
                <w:lang w:eastAsia="zh-CN"/>
              </w:rPr>
              <w:t>货物</w:t>
            </w:r>
            <w:r>
              <w:rPr>
                <w:rFonts w:hint="eastAsia" w:ascii="宋体" w:hAnsi="宋体" w:eastAsia="宋体" w:cs="Times New Roman"/>
                <w:sz w:val="24"/>
                <w:szCs w:val="24"/>
                <w:highlight w:val="none"/>
              </w:rPr>
              <w:t>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9066360"/>
      <w:bookmarkStart w:id="12" w:name="_Toc11326094"/>
      <w:r>
        <w:rPr>
          <w:rFonts w:hint="eastAsia" w:ascii="宋体" w:hAnsi="宋体" w:eastAsia="宋体" w:cs="Times New Roman"/>
          <w:b/>
          <w:sz w:val="36"/>
          <w:szCs w:val="20"/>
        </w:rPr>
        <w:t>第三章 合同专用条款</w:t>
      </w:r>
      <w:bookmarkEnd w:id="11"/>
      <w:bookmarkEnd w:id="12"/>
    </w:p>
    <w:tbl>
      <w:tblPr>
        <w:tblStyle w:val="31"/>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w:t>
            </w:r>
            <w:r>
              <w:rPr>
                <w:rFonts w:hint="eastAsia" w:ascii="宋体" w:hAnsi="宋体" w:eastAsia="宋体" w:cs="Times New Roman"/>
                <w:sz w:val="24"/>
                <w:szCs w:val="20"/>
                <w:lang w:val="en-US" w:eastAsia="zh-CN"/>
              </w:rPr>
              <w:t>1822</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孙全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1.</w:t>
            </w:r>
            <w:r>
              <w:rPr>
                <w:rFonts w:hint="eastAsia" w:ascii="宋体" w:hAnsi="宋体" w:eastAsia="宋体" w:cs="Times New Roman"/>
                <w:sz w:val="24"/>
                <w:szCs w:val="20"/>
                <w:lang w:val="en-US" w:eastAsia="zh-CN"/>
              </w:rPr>
              <w:t>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w:t>
            </w:r>
            <w:r>
              <w:rPr>
                <w:rFonts w:hint="eastAsia" w:ascii="宋体" w:hAnsi="宋体" w:eastAsia="宋体" w:cs="Times New Roman"/>
                <w:sz w:val="24"/>
                <w:szCs w:val="20"/>
                <w:lang w:eastAsia="zh-CN"/>
              </w:rPr>
              <w:t>货物</w:t>
            </w:r>
            <w:r>
              <w:rPr>
                <w:rFonts w:hint="eastAsia" w:ascii="宋体" w:hAnsi="宋体" w:eastAsia="宋体" w:cs="Times New Roman"/>
                <w:sz w:val="24"/>
                <w:szCs w:val="20"/>
              </w:rPr>
              <w:t>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个月内买方支付货款的100%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hint="eastAsia" w:ascii="宋体" w:hAnsi="宋体" w:eastAsia="宋体" w:cs="Times New Roman"/>
                <w:sz w:val="24"/>
                <w:szCs w:val="20"/>
                <w:lang w:eastAsia="zh-CN"/>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lang w:val="en-US" w:eastAsia="zh-CN"/>
              </w:rPr>
              <w:t>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3</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4</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11326095"/>
      <w:bookmarkStart w:id="14" w:name="_Toc9066361"/>
      <w:r>
        <w:rPr>
          <w:rFonts w:hint="eastAsia" w:ascii="宋体" w:hAnsi="宋体" w:eastAsia="宋体" w:cs="Times New Roman"/>
          <w:b/>
          <w:sz w:val="36"/>
          <w:szCs w:val="20"/>
          <w:highlight w:val="none"/>
        </w:rPr>
        <w:t>货物需求一览表及技术规格</w:t>
      </w:r>
      <w:bookmarkEnd w:id="13"/>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bookmarkStart w:id="15" w:name="_Toc11326096"/>
      <w:r>
        <w:rPr>
          <w:rFonts w:hint="eastAsia" w:ascii="宋体" w:hAnsi="宋体" w:eastAsia="宋体" w:cs="宋体"/>
          <w:b/>
          <w:bCs/>
          <w:sz w:val="24"/>
          <w:szCs w:val="24"/>
          <w:highlight w:val="none"/>
          <w:lang w:val="en-US" w:eastAsia="zh-CN"/>
        </w:rPr>
        <w:t>包件一：</w:t>
      </w:r>
    </w:p>
    <w:p>
      <w:pPr>
        <w:pStyle w:val="54"/>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kern w:val="0"/>
          <w:sz w:val="24"/>
          <w:szCs w:val="24"/>
          <w:highlight w:val="none"/>
          <w:lang w:val="en-US" w:eastAsia="zh-CN"/>
        </w:rPr>
        <w:t>自身免疫性糖尿病抗体谱检测试剂盒</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检测用途：用于体外定性检测人血清中的IgG类抗谷氨酸脱羧酶抗体、抗蛋白酪氨酸磷酸酶抗体、抗胰岛素抗体、抗胰岛细胞抗体、抗锌转运蛋白8抗体</w:t>
      </w:r>
    </w:p>
    <w:p>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样本类型</w:t>
      </w:r>
      <w:r>
        <w:rPr>
          <w:rFonts w:hint="eastAsia" w:hAnsi="宋体" w:cs="宋体"/>
          <w:b w:val="0"/>
          <w:bCs w:val="0"/>
          <w:sz w:val="24"/>
          <w:szCs w:val="24"/>
          <w:lang w:eastAsia="zh-CN"/>
        </w:rPr>
        <w:t>：血清</w:t>
      </w:r>
    </w:p>
    <w:p>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反应时间：≤120分钟</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精密度：检测重复性参考品10次，检测结果应一致，显色均一致</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★批内精密度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检测重复性参考品10次，检测结果应一致，显色均一致</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具有配套耗材</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★投标人需响应医院SPD项目相关要求,并与上药医疗供应链管理(上海)有限公司签署相关SPD协议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包件二：</w:t>
      </w:r>
    </w:p>
    <w:p>
      <w:pPr>
        <w:pStyle w:val="54"/>
        <w:numPr>
          <w:ilvl w:val="0"/>
          <w:numId w:val="6"/>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kern w:val="0"/>
          <w:sz w:val="24"/>
          <w:szCs w:val="24"/>
          <w:highlight w:val="none"/>
          <w:lang w:val="en-US" w:eastAsia="zh-CN"/>
        </w:rPr>
        <w:t>抗双链DNA(dsDNA)抗体检测试剂盒</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7"/>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检测用途：用于体外半定量检测人血清中的抗dsDNA抗体，作辅助诊断用</w:t>
      </w:r>
    </w:p>
    <w:p>
      <w:pPr>
        <w:pStyle w:val="18"/>
        <w:numPr>
          <w:ilvl w:val="0"/>
          <w:numId w:val="7"/>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样本类型：血清</w:t>
      </w:r>
    </w:p>
    <w:p>
      <w:pPr>
        <w:pStyle w:val="18"/>
        <w:numPr>
          <w:ilvl w:val="0"/>
          <w:numId w:val="7"/>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反应时间：≤90分钟</w:t>
      </w:r>
    </w:p>
    <w:p>
      <w:pPr>
        <w:numPr>
          <w:ilvl w:val="0"/>
          <w:numId w:val="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精密度：批间CV≤20%</w:t>
      </w:r>
    </w:p>
    <w:p>
      <w:pPr>
        <w:numPr>
          <w:ilvl w:val="0"/>
          <w:numId w:val="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★批内精密度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批内CV≤15%</w:t>
      </w:r>
    </w:p>
    <w:p>
      <w:pPr>
        <w:numPr>
          <w:ilvl w:val="0"/>
          <w:numId w:val="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溯源性：WO/80国际溯源</w:t>
      </w:r>
    </w:p>
    <w:p>
      <w:pPr>
        <w:numPr>
          <w:ilvl w:val="0"/>
          <w:numId w:val="7"/>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包件三：</w:t>
      </w:r>
    </w:p>
    <w:p>
      <w:pPr>
        <w:pStyle w:val="54"/>
        <w:numPr>
          <w:ilvl w:val="0"/>
          <w:numId w:val="8"/>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kern w:val="0"/>
          <w:sz w:val="24"/>
          <w:szCs w:val="24"/>
          <w:highlight w:val="none"/>
          <w:lang w:val="en-US" w:eastAsia="zh-CN"/>
        </w:rPr>
        <w:t>抗心磷脂抗体检测试剂盒</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8"/>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8"/>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检测用途：用于体外半定量的检测人体血清中抗心磷脂抗体</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样本类型：血清</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反应时间：≤100分钟</w:t>
      </w:r>
    </w:p>
    <w:p>
      <w:pPr>
        <w:numPr>
          <w:ilvl w:val="0"/>
          <w:numId w:val="9"/>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精密度：批间CV≤20%</w:t>
      </w:r>
    </w:p>
    <w:p>
      <w:pPr>
        <w:numPr>
          <w:ilvl w:val="0"/>
          <w:numId w:val="9"/>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★批内精密度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批内CV≤15%</w:t>
      </w:r>
    </w:p>
    <w:p>
      <w:pPr>
        <w:numPr>
          <w:ilvl w:val="0"/>
          <w:numId w:val="9"/>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pStyle w:val="54"/>
        <w:widowControl w:val="0"/>
        <w:numPr>
          <w:ilvl w:val="0"/>
          <w:numId w:val="0"/>
        </w:numPr>
        <w:spacing w:line="360" w:lineRule="auto"/>
        <w:jc w:val="both"/>
        <w:rPr>
          <w:rFonts w:hint="eastAsia" w:ascii="宋体" w:hAnsi="宋体" w:eastAsia="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包件四：</w:t>
      </w:r>
    </w:p>
    <w:p>
      <w:pPr>
        <w:pStyle w:val="54"/>
        <w:numPr>
          <w:ilvl w:val="0"/>
          <w:numId w:val="10"/>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kern w:val="0"/>
          <w:sz w:val="24"/>
          <w:szCs w:val="24"/>
          <w:highlight w:val="none"/>
          <w:lang w:val="en-US" w:eastAsia="zh-CN"/>
        </w:rPr>
        <w:t>呼吸道感染病原体抗体IgM检测试剂盒</w:t>
      </w:r>
    </w:p>
    <w:p>
      <w:pPr>
        <w:pStyle w:val="54"/>
        <w:numPr>
          <w:ilvl w:val="0"/>
          <w:numId w:val="10"/>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0"/>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0"/>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0"/>
        </w:numPr>
        <w:spacing w:line="360" w:lineRule="auto"/>
        <w:ind w:leftChars="0"/>
        <w:rPr>
          <w:rFonts w:hint="eastAsia" w:ascii="宋体" w:hAnsi="宋体" w:eastAsia="宋体" w:cs="Times New Roman"/>
          <w:b/>
          <w:sz w:val="28"/>
          <w:szCs w:val="20"/>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11"/>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检测用途：用于体外定性检测人血清样本中呼吸道感染主要病原体IgM抗体</w:t>
      </w:r>
    </w:p>
    <w:p>
      <w:pPr>
        <w:pStyle w:val="18"/>
        <w:numPr>
          <w:ilvl w:val="0"/>
          <w:numId w:val="11"/>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样本类型：血清</w:t>
      </w:r>
    </w:p>
    <w:p>
      <w:pPr>
        <w:pStyle w:val="18"/>
        <w:numPr>
          <w:ilvl w:val="0"/>
          <w:numId w:val="11"/>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反应时间：≤160分钟</w:t>
      </w:r>
    </w:p>
    <w:p>
      <w:pPr>
        <w:numPr>
          <w:ilvl w:val="0"/>
          <w:numId w:val="11"/>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精密度：滴度变化不超过一个稀释度</w:t>
      </w:r>
    </w:p>
    <w:p>
      <w:pPr>
        <w:numPr>
          <w:ilvl w:val="0"/>
          <w:numId w:val="11"/>
        </w:numPr>
        <w:spacing w:line="360" w:lineRule="auto"/>
        <w:ind w:left="425" w:leftChars="0" w:hanging="425" w:firstLineChars="0"/>
        <w:rPr>
          <w:rFonts w:hint="eastAsia" w:ascii="宋体" w:hAnsi="宋体" w:eastAsia="宋体" w:cs="Times New Roman"/>
          <w:b/>
          <w:sz w:val="28"/>
          <w:szCs w:val="20"/>
        </w:rPr>
      </w:pPr>
      <w:r>
        <w:rPr>
          <w:rFonts w:hint="eastAsia" w:ascii="宋体" w:hAnsi="宋体" w:eastAsia="宋体" w:cs="宋体"/>
          <w:b w:val="0"/>
          <w:bCs w:val="0"/>
          <w:sz w:val="24"/>
          <w:szCs w:val="24"/>
        </w:rPr>
        <w:t>★批内精密度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滴度变化不超过一个稀释度</w:t>
      </w:r>
    </w:p>
    <w:p>
      <w:pPr>
        <w:numPr>
          <w:ilvl w:val="0"/>
          <w:numId w:val="11"/>
        </w:numPr>
        <w:spacing w:line="360" w:lineRule="auto"/>
        <w:ind w:left="425" w:leftChars="0" w:hanging="425" w:firstLineChars="0"/>
        <w:rPr>
          <w:rFonts w:hint="eastAsia" w:ascii="宋体" w:hAnsi="宋体" w:eastAsia="宋体" w:cs="Times New Roman"/>
          <w:b/>
          <w:sz w:val="28"/>
          <w:szCs w:val="20"/>
        </w:rPr>
      </w:pPr>
      <w:r>
        <w:rPr>
          <w:rFonts w:hint="eastAsia" w:ascii="宋体" w:hAnsi="宋体" w:eastAsia="宋体" w:cs="Times New Roman"/>
          <w:b w:val="0"/>
          <w:bCs/>
          <w:sz w:val="24"/>
          <w:szCs w:val="24"/>
        </w:rPr>
        <w:t>抗干扰能力</w:t>
      </w:r>
      <w:r>
        <w:rPr>
          <w:rFonts w:hint="eastAsia" w:ascii="宋体" w:hAnsi="宋体" w:eastAsia="宋体" w:cs="Times New Roman"/>
          <w:b w:val="0"/>
          <w:bCs/>
          <w:sz w:val="24"/>
          <w:szCs w:val="24"/>
          <w:lang w:eastAsia="zh-CN"/>
        </w:rPr>
        <w:t>：甲型肝炎病毒（HAV）IgM 抗体、弓形虫（TOXO）IgM 抗体、巨细胞病毒（CMV）IgM 抗体、风疹病毒（RV）IgM 抗体、 类风湿因子（RF）、抗核抗体（ANA）、抗线粒体抗体（AMA）、乙型肝炎病毒表面抗原（HBsAg）、丙型肝炎病毒（HCV）抗 体、人类免疫缺陷病毒(HIV)抗体、梅毒螺旋体（TP）抗体等阳性血清对以上试剂未见干扰</w:t>
      </w:r>
    </w:p>
    <w:p>
      <w:pPr>
        <w:numPr>
          <w:ilvl w:val="0"/>
          <w:numId w:val="11"/>
        </w:numPr>
        <w:spacing w:line="360" w:lineRule="auto"/>
        <w:ind w:left="425" w:leftChars="0" w:hanging="425" w:firstLineChars="0"/>
        <w:rPr>
          <w:rFonts w:hint="eastAsia" w:ascii="宋体" w:hAnsi="宋体" w:eastAsia="宋体" w:cs="Times New Roman"/>
          <w:b/>
          <w:sz w:val="28"/>
          <w:szCs w:val="20"/>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pStyle w:val="18"/>
        <w:widowControl w:val="0"/>
        <w:numPr>
          <w:ilvl w:val="0"/>
          <w:numId w:val="0"/>
        </w:numPr>
        <w:spacing w:line="360" w:lineRule="auto"/>
        <w:jc w:val="both"/>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包件五：</w:t>
      </w:r>
    </w:p>
    <w:p>
      <w:pPr>
        <w:pStyle w:val="54"/>
        <w:numPr>
          <w:ilvl w:val="0"/>
          <w:numId w:val="12"/>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kern w:val="0"/>
          <w:sz w:val="24"/>
          <w:szCs w:val="24"/>
          <w:highlight w:val="none"/>
          <w:lang w:val="en-US" w:eastAsia="zh-CN"/>
        </w:rPr>
        <w:t>自身免疫性肝病抗体谱(IgG)检测试剂盒</w:t>
      </w:r>
    </w:p>
    <w:p>
      <w:pPr>
        <w:pStyle w:val="54"/>
        <w:numPr>
          <w:ilvl w:val="0"/>
          <w:numId w:val="12"/>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2"/>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2"/>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12"/>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13"/>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检测用途：用于体外定性检测人血清中的抗AMA-M2、LKM-1、LC-1、SLA/LP的IgG类抗体</w:t>
      </w:r>
    </w:p>
    <w:p>
      <w:pPr>
        <w:pStyle w:val="18"/>
        <w:numPr>
          <w:ilvl w:val="0"/>
          <w:numId w:val="13"/>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样本类型：血清或血浆</w:t>
      </w:r>
    </w:p>
    <w:p>
      <w:pPr>
        <w:pStyle w:val="18"/>
        <w:numPr>
          <w:ilvl w:val="0"/>
          <w:numId w:val="13"/>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反应时间：≤120分钟</w:t>
      </w:r>
    </w:p>
    <w:p>
      <w:pPr>
        <w:numPr>
          <w:ilvl w:val="0"/>
          <w:numId w:val="13"/>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精密度：批内、批间显色差异不超过1个级度</w:t>
      </w:r>
    </w:p>
    <w:p>
      <w:pPr>
        <w:numPr>
          <w:ilvl w:val="0"/>
          <w:numId w:val="13"/>
        </w:numPr>
        <w:spacing w:line="360" w:lineRule="auto"/>
        <w:ind w:left="425" w:leftChars="0" w:hanging="425" w:firstLineChars="0"/>
        <w:rPr>
          <w:rFonts w:hint="eastAsia" w:ascii="宋体" w:hAnsi="宋体" w:eastAsia="宋体" w:cs="Times New Roman"/>
          <w:b/>
          <w:sz w:val="28"/>
          <w:szCs w:val="20"/>
        </w:rPr>
      </w:pPr>
      <w:r>
        <w:rPr>
          <w:rFonts w:hint="eastAsia" w:ascii="宋体" w:hAnsi="宋体" w:eastAsia="宋体" w:cs="Times New Roman"/>
          <w:b w:val="0"/>
          <w:bCs/>
          <w:sz w:val="24"/>
          <w:szCs w:val="24"/>
        </w:rPr>
        <w:t>抗干扰能力</w:t>
      </w:r>
      <w:r>
        <w:rPr>
          <w:rFonts w:hint="eastAsia" w:ascii="宋体" w:hAnsi="宋体" w:eastAsia="宋体" w:cs="Times New Roman"/>
          <w:b w:val="0"/>
          <w:bCs/>
          <w:sz w:val="24"/>
          <w:szCs w:val="24"/>
          <w:lang w:eastAsia="zh-CN"/>
        </w:rPr>
        <w:t>：血红蛋白浓度小于5mg/mL的溶血、胆红素浓度小于0.4mg/mL的黄疸和甘油三酯浓度小于20mg/mL的脂血以及样本中的RF-IgM小于40RU/mL，对试剂盒检测结果无显著影响</w:t>
      </w:r>
    </w:p>
    <w:p>
      <w:pPr>
        <w:numPr>
          <w:ilvl w:val="0"/>
          <w:numId w:val="13"/>
        </w:numPr>
        <w:spacing w:line="360" w:lineRule="auto"/>
        <w:ind w:left="425" w:leftChars="0" w:hanging="425" w:firstLineChars="0"/>
        <w:rPr>
          <w:rFonts w:hint="eastAsia" w:ascii="宋体" w:hAnsi="宋体" w:eastAsia="宋体" w:cs="Times New Roman"/>
          <w:b/>
          <w:sz w:val="28"/>
          <w:szCs w:val="20"/>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宋体"/>
          <w:b w:val="0"/>
          <w:bCs w:val="0"/>
          <w:sz w:val="24"/>
          <w:szCs w:val="24"/>
          <w:lang w:val="en-US" w:eastAsia="zh-CN"/>
        </w:rPr>
      </w:pPr>
    </w:p>
    <w:p>
      <w:pPr>
        <w:numPr>
          <w:ilvl w:val="0"/>
          <w:numId w:val="0"/>
        </w:numPr>
        <w:spacing w:line="360" w:lineRule="auto"/>
        <w:ind w:leftChars="0"/>
        <w:rPr>
          <w:rFonts w:hint="eastAsia" w:ascii="宋体" w:hAnsi="宋体" w:eastAsia="宋体" w:cs="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包件六：</w:t>
      </w:r>
    </w:p>
    <w:p>
      <w:pPr>
        <w:pStyle w:val="54"/>
        <w:numPr>
          <w:ilvl w:val="0"/>
          <w:numId w:val="1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kern w:val="0"/>
          <w:sz w:val="24"/>
          <w:szCs w:val="24"/>
          <w:highlight w:val="none"/>
          <w:lang w:val="en-US" w:eastAsia="zh-CN"/>
        </w:rPr>
        <w:t>抗核抗体谱(IgG)检测试剂盒</w:t>
      </w:r>
    </w:p>
    <w:p>
      <w:pPr>
        <w:pStyle w:val="54"/>
        <w:numPr>
          <w:ilvl w:val="0"/>
          <w:numId w:val="1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numPr>
          <w:ilvl w:val="0"/>
          <w:numId w:val="1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15"/>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检测用途：用于体外定性检测人血清或血浆中的抗核抗体谱：抗nRNP/Sm抗体、抗Sm抗体、抗SSA抗体、抗Ro52抗体、抗SSB抗体、抗Sc1-70（DNA拓扑异构酶I）抗体、抗PM-Sc1抗体、抗Jo-1（组氨酰-RNA合成酶）抗体、抗着丝点抗体（CENP B）、抗增殖细胞核抗原（PCNA）抗体、抗双链DNA（dsDNA）抗体、抗核小体抗体、抗组蛋白抗体、抗核糖体P蛋白（rRNP）抗体、抗AMA-M2共15种不同抗原IgG类抗体。及抗Mi-2抗体、抗Ku抗体、抗α-胞衬蛋白抗体、共18种不同抗原IgG类抗体</w:t>
      </w:r>
    </w:p>
    <w:p>
      <w:pPr>
        <w:pStyle w:val="18"/>
        <w:numPr>
          <w:ilvl w:val="0"/>
          <w:numId w:val="15"/>
        </w:numPr>
        <w:spacing w:line="360" w:lineRule="auto"/>
        <w:ind w:left="425" w:leftChars="0" w:hanging="425" w:firstLineChars="0"/>
        <w:rPr>
          <w:rFonts w:hint="eastAsia" w:ascii="宋体" w:hAnsi="宋体" w:eastAsia="宋体" w:cs="宋体"/>
          <w:b w:val="0"/>
          <w:bCs w:val="0"/>
          <w:sz w:val="24"/>
          <w:szCs w:val="24"/>
        </w:rPr>
      </w:pPr>
      <w:r>
        <w:rPr>
          <w:rFonts w:hint="eastAsia" w:hAnsi="宋体" w:cs="宋体"/>
          <w:b w:val="0"/>
          <w:bCs w:val="0"/>
          <w:sz w:val="24"/>
          <w:szCs w:val="24"/>
          <w:lang w:val="en-US" w:eastAsia="zh-CN"/>
        </w:rPr>
        <w:t>样本类型：血清或血浆</w:t>
      </w:r>
    </w:p>
    <w:p>
      <w:pPr>
        <w:pStyle w:val="18"/>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hAnsi="宋体" w:cs="宋体"/>
          <w:b w:val="0"/>
          <w:bCs w:val="0"/>
          <w:sz w:val="24"/>
          <w:szCs w:val="24"/>
          <w:lang w:val="en-US" w:eastAsia="zh-CN"/>
        </w:rPr>
        <w:t>反应时间：≤120分钟</w:t>
      </w:r>
    </w:p>
    <w:p>
      <w:pPr>
        <w:pStyle w:val="18"/>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精密度：批内、批间显色差异不超过1个级度</w:t>
      </w:r>
    </w:p>
    <w:p>
      <w:pPr>
        <w:pStyle w:val="18"/>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Times New Roman"/>
          <w:b w:val="0"/>
          <w:bCs/>
          <w:sz w:val="24"/>
          <w:szCs w:val="24"/>
        </w:rPr>
        <w:t>抗干扰能力</w:t>
      </w:r>
      <w:r>
        <w:rPr>
          <w:rFonts w:hint="eastAsia" w:ascii="宋体" w:hAnsi="宋体" w:eastAsia="宋体" w:cs="Times New Roman"/>
          <w:b w:val="0"/>
          <w:bCs/>
          <w:sz w:val="24"/>
          <w:szCs w:val="24"/>
          <w:lang w:eastAsia="zh-CN"/>
        </w:rPr>
        <w:t>：血红蛋白浓度小于5mg/mL的溶血、胆红素浓度小于0.4mg/mL的黄疸和甘油三酯浓度小于20mg/mL的脂血以及样本中的RF-IgM小于40RU/mL，对试剂盒检测结果无显著影响</w:t>
      </w:r>
    </w:p>
    <w:p>
      <w:pPr>
        <w:pStyle w:val="18"/>
        <w:numPr>
          <w:ilvl w:val="0"/>
          <w:numId w:val="15"/>
        </w:numPr>
        <w:spacing w:line="360" w:lineRule="auto"/>
        <w:ind w:left="425" w:leftChars="0" w:hanging="425"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6" w:name="_Hlk72236197"/>
      <w:r>
        <w:rPr>
          <w:rFonts w:hint="eastAsia" w:ascii="宋体" w:hAnsi="宋体" w:eastAsia="宋体" w:cs="Times New Roman"/>
          <w:sz w:val="24"/>
          <w:szCs w:val="20"/>
        </w:rPr>
        <w:t>上海市中医医院</w:t>
      </w:r>
      <w:bookmarkEnd w:id="16"/>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cols w:space="425" w:num="1"/>
        </w:sectPr>
      </w:pPr>
      <w:r>
        <w:rPr>
          <w:rFonts w:hint="eastAsia" w:ascii="宋体" w:hAnsi="宋体" w:eastAsia="宋体" w:cs="Times New Roman"/>
          <w:sz w:val="24"/>
          <w:szCs w:val="20"/>
        </w:rPr>
        <w:t>公章：_______________________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7" w:name="_Toc11326097"/>
      <w:r>
        <w:rPr>
          <w:rFonts w:hint="eastAsia" w:ascii="宋体" w:hAnsi="宋体" w:eastAsia="宋体" w:cs="Times New Roman"/>
          <w:b/>
          <w:sz w:val="28"/>
          <w:szCs w:val="20"/>
        </w:rPr>
        <w:t>附件2：无行贿犯罪记录声明函（格式）</w:t>
      </w:r>
      <w:bookmarkEnd w:id="17"/>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97072"/>
    <w:multiLevelType w:val="singleLevel"/>
    <w:tmpl w:val="8B697072"/>
    <w:lvl w:ilvl="0" w:tentative="0">
      <w:start w:val="1"/>
      <w:numFmt w:val="decimal"/>
      <w:lvlText w:val="%1."/>
      <w:lvlJc w:val="left"/>
      <w:pPr>
        <w:ind w:left="425" w:hanging="425"/>
      </w:pPr>
      <w:rPr>
        <w:rFonts w:hint="default"/>
      </w:rPr>
    </w:lvl>
  </w:abstractNum>
  <w:abstractNum w:abstractNumId="1">
    <w:nsid w:val="8FEB3F6B"/>
    <w:multiLevelType w:val="singleLevel"/>
    <w:tmpl w:val="8FEB3F6B"/>
    <w:lvl w:ilvl="0" w:tentative="0">
      <w:start w:val="1"/>
      <w:numFmt w:val="decimal"/>
      <w:lvlText w:val="%1."/>
      <w:lvlJc w:val="left"/>
      <w:pPr>
        <w:ind w:left="425" w:hanging="425"/>
      </w:pPr>
      <w:rPr>
        <w:rFonts w:hint="default"/>
        <w:b w:val="0"/>
        <w:bCs w:val="0"/>
        <w:sz w:val="24"/>
        <w:szCs w:val="24"/>
      </w:rPr>
    </w:lvl>
  </w:abstractNum>
  <w:abstractNum w:abstractNumId="2">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3">
    <w:nsid w:val="A6165A21"/>
    <w:multiLevelType w:val="singleLevel"/>
    <w:tmpl w:val="A6165A21"/>
    <w:lvl w:ilvl="0" w:tentative="0">
      <w:start w:val="1"/>
      <w:numFmt w:val="chineseCounting"/>
      <w:suff w:val="nothing"/>
      <w:lvlText w:val="%1、"/>
      <w:lvlJc w:val="left"/>
      <w:pPr>
        <w:ind w:left="-420" w:firstLine="420"/>
      </w:pPr>
      <w:rPr>
        <w:rFonts w:hint="eastAsia"/>
      </w:rPr>
    </w:lvl>
  </w:abstractNum>
  <w:abstractNum w:abstractNumId="4">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5">
    <w:nsid w:val="CD1FD12B"/>
    <w:multiLevelType w:val="singleLevel"/>
    <w:tmpl w:val="CD1FD12B"/>
    <w:lvl w:ilvl="0" w:tentative="0">
      <w:start w:val="1"/>
      <w:numFmt w:val="chineseCounting"/>
      <w:suff w:val="nothing"/>
      <w:lvlText w:val="%1、"/>
      <w:lvlJc w:val="left"/>
      <w:pPr>
        <w:ind w:left="0" w:firstLine="420"/>
      </w:pPr>
      <w:rPr>
        <w:rFonts w:hint="eastAsia"/>
      </w:rPr>
    </w:lvl>
  </w:abstractNum>
  <w:abstractNum w:abstractNumId="6">
    <w:nsid w:val="CD42E90B"/>
    <w:multiLevelType w:val="singleLevel"/>
    <w:tmpl w:val="CD42E90B"/>
    <w:lvl w:ilvl="0" w:tentative="0">
      <w:start w:val="2"/>
      <w:numFmt w:val="decimal"/>
      <w:suff w:val="nothing"/>
      <w:lvlText w:val="（%1）"/>
      <w:lvlJc w:val="left"/>
    </w:lvl>
  </w:abstractNum>
  <w:abstractNum w:abstractNumId="7">
    <w:nsid w:val="D3F280B3"/>
    <w:multiLevelType w:val="singleLevel"/>
    <w:tmpl w:val="D3F280B3"/>
    <w:lvl w:ilvl="0" w:tentative="0">
      <w:start w:val="1"/>
      <w:numFmt w:val="decimal"/>
      <w:lvlText w:val="%1."/>
      <w:lvlJc w:val="left"/>
      <w:pPr>
        <w:ind w:left="425" w:hanging="425"/>
      </w:pPr>
      <w:rPr>
        <w:rFonts w:hint="default"/>
        <w:b w:val="0"/>
        <w:bCs w:val="0"/>
        <w:sz w:val="24"/>
        <w:szCs w:val="24"/>
      </w:rPr>
    </w:lvl>
  </w:abstractNum>
  <w:abstractNum w:abstractNumId="8">
    <w:nsid w:val="05B89B93"/>
    <w:multiLevelType w:val="singleLevel"/>
    <w:tmpl w:val="05B89B93"/>
    <w:lvl w:ilvl="0" w:tentative="0">
      <w:start w:val="1"/>
      <w:numFmt w:val="decimal"/>
      <w:lvlText w:val="%1."/>
      <w:lvlJc w:val="left"/>
      <w:pPr>
        <w:ind w:left="425" w:hanging="425"/>
      </w:pPr>
      <w:rPr>
        <w:rFonts w:hint="default"/>
      </w:rPr>
    </w:lvl>
  </w:abstractNum>
  <w:abstractNum w:abstractNumId="9">
    <w:nsid w:val="1CED4591"/>
    <w:multiLevelType w:val="singleLevel"/>
    <w:tmpl w:val="1CED4591"/>
    <w:lvl w:ilvl="0" w:tentative="0">
      <w:start w:val="1"/>
      <w:numFmt w:val="chineseCounting"/>
      <w:suff w:val="nothing"/>
      <w:lvlText w:val="%1、"/>
      <w:lvlJc w:val="left"/>
      <w:pPr>
        <w:ind w:left="0" w:firstLine="420"/>
      </w:pPr>
      <w:rPr>
        <w:rFonts w:hint="eastAsia"/>
      </w:rPr>
    </w:lvl>
  </w:abstractNum>
  <w:abstractNum w:abstractNumId="10">
    <w:nsid w:val="2400466D"/>
    <w:multiLevelType w:val="singleLevel"/>
    <w:tmpl w:val="2400466D"/>
    <w:lvl w:ilvl="0" w:tentative="0">
      <w:start w:val="1"/>
      <w:numFmt w:val="chineseCounting"/>
      <w:suff w:val="nothing"/>
      <w:lvlText w:val="%1、"/>
      <w:lvlJc w:val="left"/>
      <w:pPr>
        <w:ind w:left="-420" w:firstLine="420"/>
      </w:pPr>
      <w:rPr>
        <w:rFonts w:hint="eastAsia" w:ascii="Times New Roman" w:hAnsi="Times New Roman" w:cs="Times New Roman"/>
      </w:rPr>
    </w:lvl>
  </w:abstractNum>
  <w:abstractNum w:abstractNumId="11">
    <w:nsid w:val="2C3CE711"/>
    <w:multiLevelType w:val="singleLevel"/>
    <w:tmpl w:val="2C3CE711"/>
    <w:lvl w:ilvl="0" w:tentative="0">
      <w:start w:val="1"/>
      <w:numFmt w:val="chineseCounting"/>
      <w:suff w:val="nothing"/>
      <w:lvlText w:val="%1、"/>
      <w:lvlJc w:val="left"/>
      <w:pPr>
        <w:ind w:left="-420" w:firstLine="420"/>
      </w:pPr>
      <w:rPr>
        <w:rFonts w:hint="eastAsia"/>
      </w:rPr>
    </w:lvl>
  </w:abstractNum>
  <w:abstractNum w:abstractNumId="12">
    <w:nsid w:val="4E8048B8"/>
    <w:multiLevelType w:val="singleLevel"/>
    <w:tmpl w:val="4E8048B8"/>
    <w:lvl w:ilvl="0" w:tentative="0">
      <w:start w:val="1"/>
      <w:numFmt w:val="decimal"/>
      <w:lvlText w:val="%1."/>
      <w:lvlJc w:val="left"/>
      <w:pPr>
        <w:ind w:left="425" w:hanging="425"/>
      </w:pPr>
      <w:rPr>
        <w:rFonts w:hint="default"/>
        <w:b w:val="0"/>
        <w:bCs w:val="0"/>
        <w:sz w:val="24"/>
        <w:szCs w:val="24"/>
      </w:rPr>
    </w:lvl>
  </w:abstractNum>
  <w:abstractNum w:abstractNumId="13">
    <w:nsid w:val="548807C9"/>
    <w:multiLevelType w:val="singleLevel"/>
    <w:tmpl w:val="548807C9"/>
    <w:lvl w:ilvl="0" w:tentative="0">
      <w:start w:val="1"/>
      <w:numFmt w:val="decimal"/>
      <w:lvlText w:val="%1."/>
      <w:lvlJc w:val="left"/>
      <w:pPr>
        <w:ind w:left="425" w:hanging="425"/>
      </w:pPr>
      <w:rPr>
        <w:rFonts w:hint="default"/>
      </w:rPr>
    </w:lvl>
  </w:abstractNum>
  <w:abstractNum w:abstractNumId="14">
    <w:nsid w:val="57FB7DDC"/>
    <w:multiLevelType w:val="multilevel"/>
    <w:tmpl w:val="57FB7DDC"/>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14"/>
  </w:num>
  <w:num w:numId="2">
    <w:abstractNumId w:val="6"/>
  </w:num>
  <w:num w:numId="3">
    <w:abstractNumId w:val="2"/>
  </w:num>
  <w:num w:numId="4">
    <w:abstractNumId w:val="4"/>
  </w:num>
  <w:num w:numId="5">
    <w:abstractNumId w:val="8"/>
  </w:num>
  <w:num w:numId="6">
    <w:abstractNumId w:val="5"/>
  </w:num>
  <w:num w:numId="7">
    <w:abstractNumId w:val="13"/>
  </w:num>
  <w:num w:numId="8">
    <w:abstractNumId w:val="9"/>
  </w:num>
  <w:num w:numId="9">
    <w:abstractNumId w:val="0"/>
  </w:num>
  <w:num w:numId="10">
    <w:abstractNumId w:val="10"/>
  </w:num>
  <w:num w:numId="11">
    <w:abstractNumId w:val="7"/>
  </w:num>
  <w:num w:numId="12">
    <w:abstractNumId w:val="11"/>
  </w:num>
  <w:num w:numId="13">
    <w:abstractNumId w:val="1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MjBiNTMwOTE3ZmE1MGM1YjYwZTYzMDUyMmI2NW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152A45"/>
    <w:rsid w:val="037F0B26"/>
    <w:rsid w:val="05333456"/>
    <w:rsid w:val="059503E5"/>
    <w:rsid w:val="05D709B3"/>
    <w:rsid w:val="06710E08"/>
    <w:rsid w:val="07C20BED"/>
    <w:rsid w:val="08FD6983"/>
    <w:rsid w:val="0A7753AE"/>
    <w:rsid w:val="0BDF2CAF"/>
    <w:rsid w:val="0BF00DA4"/>
    <w:rsid w:val="0EF02652"/>
    <w:rsid w:val="0F0C212E"/>
    <w:rsid w:val="0FFD6BE5"/>
    <w:rsid w:val="126A0881"/>
    <w:rsid w:val="129544B2"/>
    <w:rsid w:val="139C0D9D"/>
    <w:rsid w:val="13E44EDE"/>
    <w:rsid w:val="19530D66"/>
    <w:rsid w:val="19BC5BE6"/>
    <w:rsid w:val="19DC576F"/>
    <w:rsid w:val="1A355C22"/>
    <w:rsid w:val="1A5F06D7"/>
    <w:rsid w:val="1B09545F"/>
    <w:rsid w:val="1C7C757C"/>
    <w:rsid w:val="1DBB4EF2"/>
    <w:rsid w:val="1DBC650F"/>
    <w:rsid w:val="1E4F1A12"/>
    <w:rsid w:val="206F557C"/>
    <w:rsid w:val="21CA6472"/>
    <w:rsid w:val="22AA393E"/>
    <w:rsid w:val="23276141"/>
    <w:rsid w:val="24161FB7"/>
    <w:rsid w:val="2458229A"/>
    <w:rsid w:val="2464469F"/>
    <w:rsid w:val="24C25007"/>
    <w:rsid w:val="25043F40"/>
    <w:rsid w:val="25ED784B"/>
    <w:rsid w:val="25F11009"/>
    <w:rsid w:val="262A7ACF"/>
    <w:rsid w:val="271D349F"/>
    <w:rsid w:val="277C62E7"/>
    <w:rsid w:val="279B6690"/>
    <w:rsid w:val="2B2963D3"/>
    <w:rsid w:val="2C28779E"/>
    <w:rsid w:val="2E095F27"/>
    <w:rsid w:val="2E287082"/>
    <w:rsid w:val="2E6E18BF"/>
    <w:rsid w:val="2E884201"/>
    <w:rsid w:val="2F2C5770"/>
    <w:rsid w:val="2F535254"/>
    <w:rsid w:val="315E1161"/>
    <w:rsid w:val="331367BC"/>
    <w:rsid w:val="34EE008B"/>
    <w:rsid w:val="352B33FC"/>
    <w:rsid w:val="35805CB4"/>
    <w:rsid w:val="36CA3141"/>
    <w:rsid w:val="37C130EE"/>
    <w:rsid w:val="38593614"/>
    <w:rsid w:val="39301A51"/>
    <w:rsid w:val="3A4103F8"/>
    <w:rsid w:val="3BF15DAC"/>
    <w:rsid w:val="3D6A45ED"/>
    <w:rsid w:val="3DA4759C"/>
    <w:rsid w:val="3DFE745B"/>
    <w:rsid w:val="3E2B711B"/>
    <w:rsid w:val="3E2D1012"/>
    <w:rsid w:val="3E48145F"/>
    <w:rsid w:val="3F734081"/>
    <w:rsid w:val="409018AF"/>
    <w:rsid w:val="40E94034"/>
    <w:rsid w:val="412709D8"/>
    <w:rsid w:val="41627833"/>
    <w:rsid w:val="416D419A"/>
    <w:rsid w:val="421443FB"/>
    <w:rsid w:val="427239F0"/>
    <w:rsid w:val="433472CD"/>
    <w:rsid w:val="43426C26"/>
    <w:rsid w:val="44C60E76"/>
    <w:rsid w:val="44E76487"/>
    <w:rsid w:val="4535060E"/>
    <w:rsid w:val="469B3D4F"/>
    <w:rsid w:val="473A03ED"/>
    <w:rsid w:val="49B25227"/>
    <w:rsid w:val="4B863339"/>
    <w:rsid w:val="4BA42333"/>
    <w:rsid w:val="4CEE1CF2"/>
    <w:rsid w:val="4D25098E"/>
    <w:rsid w:val="4D77632F"/>
    <w:rsid w:val="4E7C3473"/>
    <w:rsid w:val="4FB81DC2"/>
    <w:rsid w:val="501778F7"/>
    <w:rsid w:val="50CF0D56"/>
    <w:rsid w:val="52C021AE"/>
    <w:rsid w:val="533613EF"/>
    <w:rsid w:val="5371335C"/>
    <w:rsid w:val="5389510F"/>
    <w:rsid w:val="54605800"/>
    <w:rsid w:val="54643684"/>
    <w:rsid w:val="54BD39A2"/>
    <w:rsid w:val="56E97E3E"/>
    <w:rsid w:val="59A549DC"/>
    <w:rsid w:val="5BB838A1"/>
    <w:rsid w:val="5CDE5CFF"/>
    <w:rsid w:val="5CF501E7"/>
    <w:rsid w:val="5E4E4400"/>
    <w:rsid w:val="5E5E67D4"/>
    <w:rsid w:val="5EAC2763"/>
    <w:rsid w:val="60BA47AE"/>
    <w:rsid w:val="60E573F8"/>
    <w:rsid w:val="61E26848"/>
    <w:rsid w:val="63B05371"/>
    <w:rsid w:val="63D92820"/>
    <w:rsid w:val="63E1229E"/>
    <w:rsid w:val="64917820"/>
    <w:rsid w:val="6688474A"/>
    <w:rsid w:val="67C41429"/>
    <w:rsid w:val="685F15E7"/>
    <w:rsid w:val="690540BF"/>
    <w:rsid w:val="698F11EF"/>
    <w:rsid w:val="699B0761"/>
    <w:rsid w:val="6A0856B9"/>
    <w:rsid w:val="6A664098"/>
    <w:rsid w:val="6C146FEA"/>
    <w:rsid w:val="6CE12E64"/>
    <w:rsid w:val="6CEA0C57"/>
    <w:rsid w:val="6D024D8C"/>
    <w:rsid w:val="6ECC7A0D"/>
    <w:rsid w:val="706B18B9"/>
    <w:rsid w:val="709F0097"/>
    <w:rsid w:val="70EA395C"/>
    <w:rsid w:val="71957043"/>
    <w:rsid w:val="71C45194"/>
    <w:rsid w:val="7397006E"/>
    <w:rsid w:val="740D6797"/>
    <w:rsid w:val="748B756C"/>
    <w:rsid w:val="75CC49D7"/>
    <w:rsid w:val="76C539AC"/>
    <w:rsid w:val="77C35AEB"/>
    <w:rsid w:val="790829F8"/>
    <w:rsid w:val="79715BD1"/>
    <w:rsid w:val="7A5944E4"/>
    <w:rsid w:val="7C3A20F4"/>
    <w:rsid w:val="7C514E63"/>
    <w:rsid w:val="7CA25B04"/>
    <w:rsid w:val="7DD03920"/>
    <w:rsid w:val="7DF33D62"/>
    <w:rsid w:val="7ED90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2"/>
    <w:qFormat/>
    <w:uiPriority w:val="0"/>
    <w:rPr>
      <w:rFonts w:ascii="宋体" w:hAnsi="Times New Roman" w:eastAsia="宋体" w:cs="Times New Roman"/>
      <w:sz w:val="18"/>
      <w:szCs w:val="18"/>
    </w:rPr>
  </w:style>
  <w:style w:type="paragraph" w:styleId="13">
    <w:name w:val="annotation text"/>
    <w:basedOn w:val="1"/>
    <w:link w:val="125"/>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5"/>
    <w:qFormat/>
    <w:uiPriority w:val="0"/>
    <w:rPr>
      <w:rFonts w:ascii="Times New Roman" w:hAnsi="Times New Roman" w:eastAsia="宋体" w:cs="Times New Roman"/>
      <w:sz w:val="48"/>
      <w:szCs w:val="48"/>
    </w:rPr>
  </w:style>
  <w:style w:type="paragraph" w:styleId="15">
    <w:name w:val="Body Text"/>
    <w:basedOn w:val="1"/>
    <w:link w:val="102"/>
    <w:qFormat/>
    <w:uiPriority w:val="0"/>
    <w:pPr>
      <w:spacing w:after="120"/>
    </w:pPr>
    <w:rPr>
      <w:rFonts w:ascii="Times New Roman" w:hAnsi="Times New Roman" w:eastAsia="宋体" w:cs="Times New Roman"/>
      <w:szCs w:val="20"/>
    </w:rPr>
  </w:style>
  <w:style w:type="paragraph" w:styleId="16">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1"/>
    <w:qFormat/>
    <w:uiPriority w:val="0"/>
    <w:rPr>
      <w:rFonts w:ascii="宋体" w:hAnsi="Courier New" w:eastAsia="宋体" w:cs="Times New Roman"/>
      <w:szCs w:val="20"/>
    </w:rPr>
  </w:style>
  <w:style w:type="paragraph" w:styleId="19">
    <w:name w:val="Date"/>
    <w:basedOn w:val="1"/>
    <w:next w:val="1"/>
    <w:link w:val="52"/>
    <w:qFormat/>
    <w:uiPriority w:val="0"/>
    <w:rPr>
      <w:rFonts w:ascii="宋体" w:hAnsi="Times New Roman" w:eastAsia="宋体" w:cs="Times New Roman"/>
      <w:b/>
      <w:sz w:val="36"/>
      <w:szCs w:val="20"/>
    </w:rPr>
  </w:style>
  <w:style w:type="paragraph" w:styleId="20">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0"/>
    <w:semiHidden/>
    <w:qFormat/>
    <w:uiPriority w:val="0"/>
    <w:rPr>
      <w:rFonts w:ascii="Times New Roman" w:hAnsi="Times New Roman" w:eastAsia="宋体" w:cs="Times New Roman"/>
      <w:sz w:val="18"/>
      <w:szCs w:val="18"/>
    </w:rPr>
  </w:style>
  <w:style w:type="paragraph" w:styleId="22">
    <w:name w:val="footer"/>
    <w:basedOn w:val="1"/>
    <w:link w:val="40"/>
    <w:unhideWhenUsed/>
    <w:qFormat/>
    <w:uiPriority w:val="99"/>
    <w:pPr>
      <w:tabs>
        <w:tab w:val="center" w:pos="4153"/>
        <w:tab w:val="right" w:pos="8306"/>
      </w:tabs>
      <w:snapToGrid w:val="0"/>
      <w:jc w:val="left"/>
    </w:pPr>
    <w:rPr>
      <w:sz w:val="18"/>
      <w:szCs w:val="18"/>
    </w:rPr>
  </w:style>
  <w:style w:type="paragraph" w:styleId="2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5"/>
    <w:qFormat/>
    <w:uiPriority w:val="0"/>
    <w:pPr>
      <w:jc w:val="center"/>
    </w:pPr>
    <w:rPr>
      <w:rFonts w:ascii="楷体_GB2312" w:hAnsi="Times New Roman" w:eastAsia="楷体_GB2312" w:cs="Times New Roman"/>
      <w:b/>
      <w:sz w:val="72"/>
      <w:szCs w:val="20"/>
    </w:rPr>
  </w:style>
  <w:style w:type="paragraph" w:styleId="28">
    <w:name w:val="HTML Preformatted"/>
    <w:basedOn w:val="1"/>
    <w:link w:val="20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2"/>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6"/>
    <w:qFormat/>
    <w:uiPriority w:val="0"/>
    <w:pPr>
      <w:adjustRightInd/>
      <w:spacing w:line="240" w:lineRule="auto"/>
      <w:textAlignment w:val="auto"/>
    </w:pPr>
    <w:rPr>
      <w:b/>
      <w:bCs/>
      <w:kern w:val="2"/>
      <w:sz w:val="21"/>
      <w:szCs w:val="24"/>
    </w:rPr>
  </w:style>
  <w:style w:type="table" w:styleId="32">
    <w:name w:val="Table Grid"/>
    <w:basedOn w:val="3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6">
    <w:name w:val="Emphasis"/>
    <w:basedOn w:val="33"/>
    <w:qFormat/>
    <w:uiPriority w:val="20"/>
    <w:rPr>
      <w:i/>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3"/>
    <w:link w:val="23"/>
    <w:qFormat/>
    <w:uiPriority w:val="99"/>
    <w:rPr>
      <w:sz w:val="18"/>
      <w:szCs w:val="18"/>
    </w:rPr>
  </w:style>
  <w:style w:type="character" w:customStyle="1" w:styleId="40">
    <w:name w:val="页脚 Char1"/>
    <w:basedOn w:val="33"/>
    <w:link w:val="22"/>
    <w:qFormat/>
    <w:uiPriority w:val="99"/>
    <w:rPr>
      <w:sz w:val="18"/>
      <w:szCs w:val="18"/>
    </w:rPr>
  </w:style>
  <w:style w:type="character" w:customStyle="1" w:styleId="41">
    <w:name w:val="标题 1 Char"/>
    <w:basedOn w:val="33"/>
    <w:link w:val="2"/>
    <w:qFormat/>
    <w:uiPriority w:val="0"/>
    <w:rPr>
      <w:rFonts w:ascii="Times New Roman" w:hAnsi="Times New Roman" w:eastAsia="宋体" w:cs="Times New Roman"/>
      <w:b/>
      <w:kern w:val="44"/>
      <w:sz w:val="44"/>
      <w:szCs w:val="20"/>
    </w:rPr>
  </w:style>
  <w:style w:type="character" w:customStyle="1" w:styleId="42">
    <w:name w:val="标题 2 Char"/>
    <w:basedOn w:val="33"/>
    <w:link w:val="3"/>
    <w:qFormat/>
    <w:uiPriority w:val="0"/>
    <w:rPr>
      <w:rFonts w:ascii="Arial" w:hAnsi="Arial" w:eastAsia="黑体" w:cs="Times New Roman"/>
      <w:b/>
      <w:bCs/>
      <w:sz w:val="32"/>
      <w:szCs w:val="32"/>
    </w:rPr>
  </w:style>
  <w:style w:type="character" w:customStyle="1" w:styleId="43">
    <w:name w:val="标题 3 Char"/>
    <w:basedOn w:val="33"/>
    <w:link w:val="4"/>
    <w:qFormat/>
    <w:uiPriority w:val="0"/>
    <w:rPr>
      <w:rFonts w:ascii="Times New Roman" w:hAnsi="Times New Roman" w:eastAsia="宋体" w:cs="Times New Roman"/>
      <w:b/>
      <w:sz w:val="32"/>
      <w:szCs w:val="20"/>
    </w:rPr>
  </w:style>
  <w:style w:type="character" w:customStyle="1" w:styleId="44">
    <w:name w:val="标题 4 Char"/>
    <w:basedOn w:val="33"/>
    <w:link w:val="6"/>
    <w:qFormat/>
    <w:uiPriority w:val="0"/>
    <w:rPr>
      <w:rFonts w:ascii="Arial" w:hAnsi="Arial" w:eastAsia="黑体" w:cs="Times New Roman"/>
      <w:b/>
      <w:bCs/>
      <w:sz w:val="28"/>
      <w:szCs w:val="28"/>
    </w:rPr>
  </w:style>
  <w:style w:type="character" w:customStyle="1" w:styleId="45">
    <w:name w:val="标题 5 Char"/>
    <w:basedOn w:val="33"/>
    <w:link w:val="7"/>
    <w:qFormat/>
    <w:uiPriority w:val="0"/>
    <w:rPr>
      <w:rFonts w:ascii="Times New Roman" w:hAnsi="Times New Roman" w:eastAsia="宋体" w:cs="Times New Roman"/>
      <w:b/>
      <w:bCs/>
      <w:sz w:val="28"/>
      <w:szCs w:val="28"/>
    </w:rPr>
  </w:style>
  <w:style w:type="character" w:customStyle="1" w:styleId="46">
    <w:name w:val="标题 6 Char"/>
    <w:basedOn w:val="33"/>
    <w:link w:val="8"/>
    <w:qFormat/>
    <w:uiPriority w:val="0"/>
    <w:rPr>
      <w:rFonts w:ascii="Arial" w:hAnsi="Arial" w:eastAsia="黑体" w:cs="Times New Roman"/>
      <w:b/>
      <w:bCs/>
      <w:sz w:val="24"/>
      <w:szCs w:val="24"/>
    </w:rPr>
  </w:style>
  <w:style w:type="character" w:customStyle="1" w:styleId="47">
    <w:name w:val="标题 7 Char"/>
    <w:basedOn w:val="33"/>
    <w:link w:val="9"/>
    <w:qFormat/>
    <w:uiPriority w:val="0"/>
    <w:rPr>
      <w:rFonts w:ascii="Times New Roman" w:hAnsi="Times New Roman" w:eastAsia="宋体" w:cs="Times New Roman"/>
      <w:b/>
      <w:bCs/>
      <w:sz w:val="24"/>
      <w:szCs w:val="24"/>
    </w:rPr>
  </w:style>
  <w:style w:type="character" w:customStyle="1" w:styleId="48">
    <w:name w:val="标题 8 Char"/>
    <w:basedOn w:val="33"/>
    <w:link w:val="10"/>
    <w:qFormat/>
    <w:uiPriority w:val="0"/>
    <w:rPr>
      <w:rFonts w:ascii="Arial" w:hAnsi="Arial" w:eastAsia="黑体" w:cs="Times New Roman"/>
      <w:sz w:val="24"/>
      <w:szCs w:val="24"/>
    </w:rPr>
  </w:style>
  <w:style w:type="character" w:customStyle="1" w:styleId="49">
    <w:name w:val="标题 9 Char"/>
    <w:basedOn w:val="33"/>
    <w:link w:val="11"/>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3"/>
    <w:link w:val="18"/>
    <w:qFormat/>
    <w:uiPriority w:val="0"/>
    <w:rPr>
      <w:rFonts w:ascii="宋体" w:hAnsi="Courier New" w:eastAsia="宋体" w:cs="Times New Roman"/>
      <w:szCs w:val="20"/>
    </w:rPr>
  </w:style>
  <w:style w:type="character" w:customStyle="1" w:styleId="52">
    <w:name w:val="日期 Char"/>
    <w:basedOn w:val="33"/>
    <w:link w:val="19"/>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qFormat/>
    <w:uiPriority w:val="34"/>
    <w:pPr>
      <w:ind w:firstLine="420" w:firstLineChars="200"/>
    </w:pPr>
  </w:style>
  <w:style w:type="paragraph" w:customStyle="1" w:styleId="55">
    <w:name w:val="itb"/>
    <w:basedOn w:val="4"/>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3"/>
    <w:link w:val="15"/>
    <w:qFormat/>
    <w:uiPriority w:val="0"/>
    <w:rPr>
      <w:rFonts w:ascii="Times New Roman" w:hAnsi="Times New Roman" w:eastAsia="宋体" w:cs="Times New Roman"/>
      <w:szCs w:val="20"/>
    </w:rPr>
  </w:style>
  <w:style w:type="character" w:customStyle="1" w:styleId="103">
    <w:name w:val="正文文本缩进 Char"/>
    <w:basedOn w:val="33"/>
    <w:link w:val="16"/>
    <w:qFormat/>
    <w:uiPriority w:val="0"/>
    <w:rPr>
      <w:rFonts w:ascii="Times New Roman" w:hAnsi="Times New Roman" w:eastAsia="宋体" w:cs="Times New Roman"/>
      <w:szCs w:val="20"/>
    </w:rPr>
  </w:style>
  <w:style w:type="character" w:customStyle="1" w:styleId="104">
    <w:name w:val="副标题 Char"/>
    <w:basedOn w:val="33"/>
    <w:link w:val="24"/>
    <w:qFormat/>
    <w:uiPriority w:val="0"/>
    <w:rPr>
      <w:rFonts w:ascii="Arial" w:hAnsi="Arial" w:eastAsia="宋体" w:cs="Arial"/>
      <w:b/>
      <w:bCs/>
      <w:kern w:val="28"/>
      <w:sz w:val="32"/>
      <w:szCs w:val="32"/>
    </w:rPr>
  </w:style>
  <w:style w:type="character" w:customStyle="1" w:styleId="105">
    <w:name w:val="正文文本 2 Char"/>
    <w:basedOn w:val="33"/>
    <w:link w:val="27"/>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3"/>
    <w:link w:val="20"/>
    <w:qFormat/>
    <w:uiPriority w:val="0"/>
    <w:rPr>
      <w:rFonts w:ascii="华文仿宋" w:hAnsi="华文仿宋" w:eastAsia="华文仿宋" w:cs="Times New Roman"/>
      <w:sz w:val="32"/>
      <w:szCs w:val="20"/>
    </w:rPr>
  </w:style>
  <w:style w:type="character" w:customStyle="1" w:styleId="110">
    <w:name w:val="批注框文本 Char"/>
    <w:basedOn w:val="33"/>
    <w:link w:val="21"/>
    <w:semiHidden/>
    <w:qFormat/>
    <w:uiPriority w:val="0"/>
    <w:rPr>
      <w:rFonts w:ascii="Times New Roman" w:hAnsi="Times New Roman" w:eastAsia="宋体" w:cs="Times New Roman"/>
      <w:sz w:val="18"/>
      <w:szCs w:val="18"/>
    </w:rPr>
  </w:style>
  <w:style w:type="character" w:customStyle="1" w:styleId="111">
    <w:name w:val="正文文本缩进 3 Char"/>
    <w:basedOn w:val="33"/>
    <w:link w:val="26"/>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3"/>
    <w:link w:val="13"/>
    <w:semiHidden/>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3"/>
    <w:link w:val="29"/>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
    <w:qFormat/>
    <w:uiPriority w:val="0"/>
    <w:rPr>
      <w:rFonts w:ascii="Times New Roman" w:hAnsi="Times New Roman" w:cs="Times New Roman"/>
      <w:b/>
      <w:bCs/>
      <w:kern w:val="44"/>
      <w:sz w:val="44"/>
      <w:szCs w:val="44"/>
    </w:rPr>
  </w:style>
  <w:style w:type="character" w:customStyle="1" w:styleId="138">
    <w:name w:val="Heading 2 Char"/>
    <w:qFormat/>
    <w:uiPriority w:val="0"/>
    <w:rPr>
      <w:rFonts w:ascii="Cambria" w:hAnsi="Cambria" w:eastAsia="宋体" w:cs="Cambria"/>
      <w:b/>
      <w:bCs/>
      <w:sz w:val="32"/>
      <w:szCs w:val="32"/>
    </w:rPr>
  </w:style>
  <w:style w:type="character" w:customStyle="1" w:styleId="139">
    <w:name w:val="Heading 3 Char"/>
    <w:qFormat/>
    <w:uiPriority w:val="0"/>
    <w:rPr>
      <w:rFonts w:ascii="Times New Roman" w:hAnsi="Times New Roman" w:cs="Times New Roman"/>
      <w:b/>
      <w:bCs/>
      <w:sz w:val="32"/>
      <w:szCs w:val="32"/>
    </w:rPr>
  </w:style>
  <w:style w:type="character" w:customStyle="1" w:styleId="140">
    <w:name w:val="Heading 4 Char"/>
    <w:qFormat/>
    <w:uiPriority w:val="0"/>
    <w:rPr>
      <w:rFonts w:ascii="Cambria" w:hAnsi="Cambria" w:eastAsia="宋体" w:cs="Cambria"/>
      <w:b/>
      <w:bCs/>
      <w:sz w:val="28"/>
      <w:szCs w:val="28"/>
    </w:rPr>
  </w:style>
  <w:style w:type="character" w:customStyle="1" w:styleId="141">
    <w:name w:val="Heading 5 Char"/>
    <w:qFormat/>
    <w:uiPriority w:val="0"/>
    <w:rPr>
      <w:rFonts w:ascii="Times New Roman" w:hAnsi="Times New Roman" w:cs="Times New Roman"/>
      <w:b/>
      <w:bCs/>
      <w:sz w:val="28"/>
      <w:szCs w:val="28"/>
    </w:rPr>
  </w:style>
  <w:style w:type="character" w:customStyle="1" w:styleId="142">
    <w:name w:val="Heading 6 Char"/>
    <w:qFormat/>
    <w:uiPriority w:val="0"/>
    <w:rPr>
      <w:rFonts w:ascii="Cambria" w:hAnsi="Cambria" w:eastAsia="宋体" w:cs="Cambria"/>
      <w:b/>
      <w:bCs/>
      <w:sz w:val="24"/>
      <w:szCs w:val="24"/>
    </w:rPr>
  </w:style>
  <w:style w:type="character" w:customStyle="1" w:styleId="143">
    <w:name w:val="Heading 7 Char"/>
    <w:qFormat/>
    <w:uiPriority w:val="0"/>
    <w:rPr>
      <w:rFonts w:ascii="Times New Roman" w:hAnsi="Times New Roman" w:cs="Times New Roman"/>
      <w:b/>
      <w:bCs/>
      <w:sz w:val="24"/>
      <w:szCs w:val="24"/>
    </w:rPr>
  </w:style>
  <w:style w:type="character" w:customStyle="1" w:styleId="144">
    <w:name w:val="Heading 8 Char"/>
    <w:qFormat/>
    <w:uiPriority w:val="0"/>
    <w:rPr>
      <w:rFonts w:ascii="Cambria" w:hAnsi="Cambria" w:eastAsia="宋体" w:cs="Cambria"/>
      <w:sz w:val="24"/>
      <w:szCs w:val="24"/>
    </w:rPr>
  </w:style>
  <w:style w:type="character" w:customStyle="1" w:styleId="145">
    <w:name w:val="Heading 9 Char"/>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5">
    <w:name w:val="正文文本 3 Char"/>
    <w:basedOn w:val="33"/>
    <w:link w:val="14"/>
    <w:qFormat/>
    <w:uiPriority w:val="0"/>
    <w:rPr>
      <w:rFonts w:ascii="Times New Roman" w:hAnsi="Times New Roman" w:eastAsia="宋体" w:cs="Times New Roman"/>
      <w:sz w:val="48"/>
      <w:szCs w:val="48"/>
    </w:rPr>
  </w:style>
  <w:style w:type="character" w:customStyle="1" w:styleId="176">
    <w:name w:val="批注主题 Char"/>
    <w:basedOn w:val="125"/>
    <w:link w:val="30"/>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3"/>
    <w:semiHidden/>
    <w:qFormat/>
    <w:uiPriority w:val="99"/>
    <w:rPr>
      <w:rFonts w:ascii="Microsoft YaHei UI" w:eastAsia="Microsoft YaHei UI"/>
      <w:sz w:val="18"/>
      <w:szCs w:val="18"/>
    </w:rPr>
  </w:style>
  <w:style w:type="character" w:customStyle="1" w:styleId="202">
    <w:name w:val="文档结构图 Char"/>
    <w:link w:val="12"/>
    <w:qFormat/>
    <w:uiPriority w:val="0"/>
    <w:rPr>
      <w:rFonts w:ascii="宋体" w:hAnsi="Times New Roman" w:eastAsia="宋体" w:cs="Times New Roman"/>
      <w:sz w:val="18"/>
      <w:szCs w:val="18"/>
    </w:rPr>
  </w:style>
  <w:style w:type="character" w:customStyle="1" w:styleId="203">
    <w:name w:val="HTML 预设格式 字符"/>
    <w:basedOn w:val="33"/>
    <w:semiHidden/>
    <w:qFormat/>
    <w:uiPriority w:val="99"/>
    <w:rPr>
      <w:rFonts w:ascii="Courier New" w:hAnsi="Courier New" w:cs="Courier New"/>
      <w:sz w:val="20"/>
      <w:szCs w:val="20"/>
    </w:rPr>
  </w:style>
  <w:style w:type="character" w:customStyle="1" w:styleId="204">
    <w:name w:val="HTML 预设格式 Char"/>
    <w:link w:val="28"/>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character" w:customStyle="1" w:styleId="209">
    <w:name w:val="NormalCharacter"/>
    <w:qFormat/>
    <w:uiPriority w:val="0"/>
    <w:rPr>
      <w:rFonts w:ascii="Times New Roman" w:hAnsi="Times New Roman" w:eastAsia="宋体"/>
    </w:rPr>
  </w:style>
  <w:style w:type="paragraph" w:customStyle="1" w:styleId="210">
    <w:name w:val="Table Paragraph"/>
    <w:basedOn w:val="1"/>
    <w:qFormat/>
    <w:uiPriority w:val="1"/>
  </w:style>
  <w:style w:type="character" w:customStyle="1" w:styleId="211">
    <w:name w:val="fontstyle01"/>
    <w:basedOn w:val="33"/>
    <w:qFormat/>
    <w:uiPriority w:val="0"/>
    <w:rPr>
      <w:rFonts w:hint="eastAsia" w:ascii="宋体" w:hAnsi="宋体" w:eastAsia="宋体"/>
      <w:color w:val="000000"/>
      <w:sz w:val="18"/>
      <w:szCs w:val="18"/>
    </w:rPr>
  </w:style>
  <w:style w:type="character" w:customStyle="1" w:styleId="212">
    <w:name w:val="fontstyle21"/>
    <w:basedOn w:val="33"/>
    <w:qFormat/>
    <w:uiPriority w:val="0"/>
    <w:rPr>
      <w:rFonts w:hint="default" w:ascii="TimesNewRomanPSMT" w:hAnsi="TimesNewRomanPSMT"/>
      <w:color w:val="000000"/>
      <w:sz w:val="18"/>
      <w:szCs w:val="18"/>
    </w:rPr>
  </w:style>
  <w:style w:type="character" w:customStyle="1" w:styleId="213">
    <w:name w:val="font21"/>
    <w:basedOn w:val="33"/>
    <w:qFormat/>
    <w:uiPriority w:val="0"/>
    <w:rPr>
      <w:rFonts w:hint="eastAsia" w:ascii="微软雅黑" w:hAnsi="微软雅黑" w:eastAsia="微软雅黑" w:cs="微软雅黑"/>
      <w:color w:val="000000"/>
      <w:sz w:val="20"/>
      <w:szCs w:val="20"/>
      <w:u w:val="none"/>
    </w:rPr>
  </w:style>
  <w:style w:type="character" w:customStyle="1" w:styleId="214">
    <w:name w:val="font31"/>
    <w:basedOn w:val="33"/>
    <w:qFormat/>
    <w:uiPriority w:val="0"/>
    <w:rPr>
      <w:rFonts w:ascii="72" w:hAnsi="72" w:eastAsia="72" w:cs="72"/>
      <w:color w:val="000000"/>
      <w:sz w:val="20"/>
      <w:szCs w:val="20"/>
      <w:u w:val="none"/>
    </w:rPr>
  </w:style>
  <w:style w:type="paragraph" w:customStyle="1" w:styleId="215">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6947</Words>
  <Characters>7698</Characters>
  <Lines>12</Lines>
  <Paragraphs>17</Paragraphs>
  <TotalTime>0</TotalTime>
  <ScaleCrop>false</ScaleCrop>
  <LinksUpToDate>false</LinksUpToDate>
  <CharactersWithSpaces>7808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2024-11-06T02:58:46Z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F52D24A478984F87A5CFA8D6073A2D72_13</vt:lpwstr>
  </property>
</Properties>
</file>