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shd w:val="clea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rPr>
        <w:t>种植系统等设备项目</w:t>
      </w:r>
    </w:p>
    <w:p>
      <w:pPr>
        <w:shd w:val="clea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rPr>
        <w:t>询价通知书</w:t>
      </w:r>
    </w:p>
    <w:p>
      <w:pPr>
        <w:shd w:val="clear"/>
        <w:tabs>
          <w:tab w:val="left" w:pos="2730"/>
        </w:tabs>
        <w:spacing w:line="360" w:lineRule="auto"/>
        <w:ind w:left="723" w:hanging="720" w:hangingChars="200"/>
        <w:jc w:val="center"/>
        <w:rPr>
          <w:rFonts w:ascii="宋体" w:hAnsi="宋体" w:eastAsia="宋体" w:cs="Times New Roman"/>
          <w:b/>
          <w:sz w:val="36"/>
          <w:szCs w:val="36"/>
          <w:highlight w:val="none"/>
        </w:rPr>
      </w:pPr>
    </w:p>
    <w:p>
      <w:pPr>
        <w:shd w:val="clear"/>
        <w:tabs>
          <w:tab w:val="left" w:pos="2730"/>
        </w:tabs>
        <w:spacing w:line="360" w:lineRule="auto"/>
        <w:ind w:left="723" w:hanging="720" w:hangingChars="200"/>
        <w:jc w:val="center"/>
        <w:rPr>
          <w:rFonts w:ascii="宋体" w:hAnsi="宋体" w:eastAsia="宋体" w:cs="Times New Roman"/>
          <w:b/>
          <w:sz w:val="36"/>
          <w:szCs w:val="36"/>
          <w:highlight w:val="none"/>
        </w:rPr>
      </w:pPr>
    </w:p>
    <w:p>
      <w:pPr>
        <w:shd w:val="clear"/>
        <w:tabs>
          <w:tab w:val="left" w:pos="2730"/>
        </w:tabs>
        <w:spacing w:line="360" w:lineRule="auto"/>
        <w:ind w:left="723" w:hanging="720" w:hangingChars="200"/>
        <w:jc w:val="center"/>
        <w:rPr>
          <w:rFonts w:ascii="宋体" w:hAnsi="宋体" w:eastAsia="宋体" w:cs="Times New Roman"/>
          <w:b/>
          <w:sz w:val="36"/>
          <w:szCs w:val="36"/>
          <w:highlight w:val="none"/>
        </w:rPr>
      </w:pPr>
    </w:p>
    <w:p>
      <w:pPr>
        <w:shd w:val="clear"/>
        <w:tabs>
          <w:tab w:val="left" w:pos="2730"/>
        </w:tabs>
        <w:spacing w:line="360" w:lineRule="auto"/>
        <w:ind w:left="723" w:hanging="720" w:hangingChars="200"/>
        <w:jc w:val="center"/>
        <w:rPr>
          <w:rFonts w:ascii="宋体" w:hAnsi="宋体" w:eastAsia="宋体" w:cs="Times New Roman"/>
          <w:b/>
          <w:sz w:val="36"/>
          <w:szCs w:val="36"/>
          <w:highlight w:val="none"/>
        </w:rPr>
      </w:pPr>
    </w:p>
    <w:p>
      <w:pPr>
        <w:shd w:val="clear"/>
        <w:tabs>
          <w:tab w:val="left" w:pos="2730"/>
        </w:tabs>
        <w:spacing w:line="360" w:lineRule="auto"/>
        <w:ind w:left="723" w:hanging="720" w:hangingChars="200"/>
        <w:jc w:val="center"/>
        <w:rPr>
          <w:rFonts w:ascii="宋体" w:hAnsi="宋体" w:eastAsia="宋体" w:cs="Times New Roman"/>
          <w:b/>
          <w:sz w:val="36"/>
          <w:szCs w:val="36"/>
          <w:highlight w:val="none"/>
        </w:rPr>
      </w:pPr>
    </w:p>
    <w:p>
      <w:pPr>
        <w:shd w:val="clear"/>
        <w:tabs>
          <w:tab w:val="left" w:pos="2730"/>
        </w:tabs>
        <w:spacing w:line="360" w:lineRule="auto"/>
        <w:ind w:left="723" w:hanging="720" w:hangingChars="200"/>
        <w:jc w:val="center"/>
        <w:rPr>
          <w:rFonts w:ascii="宋体" w:hAnsi="宋体" w:eastAsia="宋体" w:cs="Times New Roman"/>
          <w:b/>
          <w:sz w:val="36"/>
          <w:szCs w:val="36"/>
          <w:highlight w:val="none"/>
        </w:rPr>
      </w:pPr>
    </w:p>
    <w:p>
      <w:pPr>
        <w:shd w:val="clear"/>
        <w:tabs>
          <w:tab w:val="left" w:pos="2730"/>
        </w:tabs>
        <w:spacing w:line="360" w:lineRule="auto"/>
        <w:ind w:left="723" w:hanging="720" w:hangingChars="200"/>
        <w:jc w:val="center"/>
        <w:rPr>
          <w:rFonts w:ascii="宋体" w:hAnsi="宋体" w:eastAsia="宋体" w:cs="Times New Roman"/>
          <w:b/>
          <w:sz w:val="36"/>
          <w:szCs w:val="36"/>
          <w:highlight w:val="none"/>
        </w:rPr>
      </w:pPr>
    </w:p>
    <w:p>
      <w:pPr>
        <w:shd w:val="clear"/>
        <w:tabs>
          <w:tab w:val="left" w:pos="2730"/>
        </w:tabs>
        <w:spacing w:line="360" w:lineRule="auto"/>
        <w:ind w:left="723" w:hanging="720" w:hangingChars="200"/>
        <w:jc w:val="center"/>
        <w:rPr>
          <w:rFonts w:ascii="宋体" w:hAnsi="宋体" w:eastAsia="宋体" w:cs="Times New Roman"/>
          <w:b/>
          <w:sz w:val="36"/>
          <w:szCs w:val="36"/>
          <w:highlight w:val="none"/>
        </w:rPr>
      </w:pPr>
    </w:p>
    <w:p>
      <w:pPr>
        <w:shd w:val="clea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14</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2</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rPr>
        <w:t>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16</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shd w:val="clear"/>
        <w:autoSpaceDE w:val="0"/>
        <w:autoSpaceDN w:val="0"/>
        <w:spacing w:before="260" w:after="260" w:line="360" w:lineRule="auto"/>
        <w:jc w:val="center"/>
        <w:outlineLvl w:val="2"/>
        <w:rPr>
          <w:rFonts w:ascii="宋体" w:hAnsi="宋体" w:eastAsia="宋体" w:cs="Times New Roman"/>
          <w:b/>
          <w:sz w:val="36"/>
          <w:szCs w:val="20"/>
          <w:highlight w:val="none"/>
        </w:rPr>
      </w:pPr>
      <w:bookmarkStart w:id="2" w:name="OLE_LINK16"/>
      <w:bookmarkStart w:id="3" w:name="OLE_LINK11"/>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询价邀请</w:t>
      </w:r>
    </w:p>
    <w:p>
      <w:pPr>
        <w:shd w:val="clear"/>
        <w:spacing w:line="360" w:lineRule="auto"/>
        <w:ind w:left="425" w:hanging="424" w:hangingChars="177"/>
        <w:rPr>
          <w:rFonts w:ascii="宋体" w:hAnsi="宋体" w:eastAsia="宋体" w:cs="Times New Roman"/>
          <w:sz w:val="24"/>
          <w:szCs w:val="24"/>
          <w:highlight w:val="none"/>
        </w:rPr>
      </w:pPr>
      <w:bookmarkStart w:id="4" w:name="_Toc461613077"/>
      <w:bookmarkStart w:id="5" w:name="_Toc461613005"/>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上海市中医医院现以公开采购的方式邀请合格的供应商就下列所提供的货物和相关服务提交密封询价文件。</w:t>
      </w:r>
    </w:p>
    <w:p>
      <w:pPr>
        <w:shd w:val="clea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cs="宋体"/>
          <w:kern w:val="0"/>
          <w:sz w:val="24"/>
          <w:szCs w:val="24"/>
          <w:highlight w:val="none"/>
        </w:rPr>
        <w:t>设备名称</w:t>
      </w:r>
      <w:r>
        <w:rPr>
          <w:rFonts w:hint="eastAsia" w:ascii="宋体" w:hAnsi="宋体" w:eastAsia="宋体" w:cs="宋体"/>
          <w:kern w:val="0"/>
          <w:sz w:val="24"/>
          <w:szCs w:val="24"/>
          <w:highlight w:val="none"/>
          <w:lang w:val="en-US" w:eastAsia="zh-CN"/>
        </w:rPr>
        <w:t>及数量</w:t>
      </w:r>
      <w:r>
        <w:rPr>
          <w:rFonts w:hint="eastAsia" w:ascii="宋体" w:hAnsi="宋体" w:eastAsia="宋体" w:cs="宋体"/>
          <w:kern w:val="0"/>
          <w:sz w:val="24"/>
          <w:szCs w:val="24"/>
          <w:highlight w:val="none"/>
        </w:rPr>
        <w:t>：</w:t>
      </w:r>
      <w:bookmarkEnd w:id="4"/>
      <w:bookmarkEnd w:id="5"/>
    </w:p>
    <w:p>
      <w:pPr>
        <w:pStyle w:val="54"/>
        <w:numPr>
          <w:ilvl w:val="0"/>
          <w:numId w:val="0"/>
        </w:numPr>
        <w:shd w:val="clear"/>
        <w:spacing w:line="360" w:lineRule="auto"/>
        <w:ind w:leftChars="0" w:firstLine="720" w:firstLineChars="300"/>
        <w:rPr>
          <w:rFonts w:ascii="宋体" w:hAnsi="宋体" w:eastAsia="宋体"/>
          <w:sz w:val="24"/>
          <w:szCs w:val="24"/>
          <w:highlight w:val="none"/>
        </w:rPr>
      </w:pPr>
      <w:r>
        <w:rPr>
          <w:rFonts w:hint="eastAsia" w:ascii="宋体" w:hAnsi="宋体" w:eastAsia="宋体" w:cs="宋体"/>
          <w:sz w:val="24"/>
          <w:szCs w:val="24"/>
          <w:highlight w:val="none"/>
          <w:shd w:val="clear"/>
          <w:lang w:eastAsia="zh-CN"/>
        </w:rPr>
        <w:t>种植系统</w:t>
      </w:r>
      <w:r>
        <w:rPr>
          <w:rFonts w:hint="eastAsia" w:ascii="宋体" w:hAnsi="宋体" w:eastAsia="宋体" w:cs="Times New Roman"/>
          <w:sz w:val="24"/>
          <w:szCs w:val="24"/>
          <w:highlight w:val="none"/>
          <w:shd w:val="clear"/>
        </w:rPr>
        <w:t>/</w:t>
      </w:r>
      <w:r>
        <w:rPr>
          <w:rFonts w:hint="eastAsia" w:ascii="宋体" w:hAnsi="宋体" w:eastAsia="宋体" w:cs="Times New Roman"/>
          <w:sz w:val="24"/>
          <w:szCs w:val="24"/>
          <w:highlight w:val="none"/>
          <w:shd w:val="clear"/>
          <w:lang w:val="en-US" w:eastAsia="zh-CN"/>
        </w:rPr>
        <w:t>叁套</w:t>
      </w:r>
      <w:r>
        <w:rPr>
          <w:rFonts w:hint="eastAsia" w:ascii="宋体" w:hAnsi="宋体" w:eastAsia="宋体" w:cs="Times New Roman"/>
          <w:sz w:val="24"/>
          <w:szCs w:val="24"/>
          <w:highlight w:val="none"/>
          <w:lang w:val="en-US" w:eastAsia="zh-CN"/>
        </w:rPr>
        <w:t xml:space="preserve">  （项目预算：人民币16.2万元）</w:t>
      </w:r>
    </w:p>
    <w:p>
      <w:pPr>
        <w:shd w:val="clea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）技术要求：见本询价通知书第四章“货物需求一览表及技术规格</w:t>
      </w:r>
    </w:p>
    <w:p>
      <w:pPr>
        <w:shd w:val="clea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2024</w:t>
      </w:r>
      <w:r>
        <w:rPr>
          <w:rFonts w:hint="eastAsia" w:ascii="宋体" w:hAnsi="宋体" w:eastAsia="宋体" w:cs="Times New Roman"/>
          <w:sz w:val="24"/>
          <w:szCs w:val="24"/>
          <w:highlight w:val="none"/>
          <w:shd w:val="clear"/>
        </w:rPr>
        <w:t>年</w:t>
      </w:r>
      <w:r>
        <w:rPr>
          <w:rFonts w:hint="eastAsia" w:ascii="宋体" w:hAnsi="宋体" w:eastAsia="宋体" w:cs="Times New Roman"/>
          <w:sz w:val="24"/>
          <w:szCs w:val="24"/>
          <w:highlight w:val="none"/>
          <w:shd w:val="clear"/>
          <w:lang w:val="en-US" w:eastAsia="zh-CN"/>
        </w:rPr>
        <w:t>10</w:t>
      </w:r>
      <w:r>
        <w:rPr>
          <w:rFonts w:hint="eastAsia" w:ascii="宋体" w:hAnsi="宋体" w:eastAsia="宋体" w:cs="Times New Roman"/>
          <w:sz w:val="24"/>
          <w:szCs w:val="24"/>
          <w:highlight w:val="none"/>
          <w:shd w:val="clear"/>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17</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hd w:val="clea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2024年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17</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bookmarkEnd w:id="2"/>
    <w:bookmarkEnd w:id="3"/>
    <w:bookmarkEnd w:id="6"/>
    <w:bookmarkEnd w:id="7"/>
    <w:p>
      <w:pPr>
        <w:shd w:val="clear"/>
        <w:spacing w:line="360" w:lineRule="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递交文件截止时间、地点及要求：</w:t>
      </w:r>
    </w:p>
    <w:p>
      <w:pPr>
        <w:shd w:val="clear"/>
        <w:spacing w:line="360" w:lineRule="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截止时间：2024年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22</w:t>
      </w:r>
      <w:r>
        <w:rPr>
          <w:rFonts w:hint="eastAsia" w:ascii="宋体" w:hAnsi="宋体" w:eastAsia="宋体" w:cs="Times New Roman"/>
          <w:sz w:val="24"/>
          <w:szCs w:val="24"/>
          <w:highlight w:val="none"/>
        </w:rPr>
        <w:t>日北京时间10:00</w:t>
      </w:r>
    </w:p>
    <w:p>
      <w:pPr>
        <w:shd w:val="clear"/>
        <w:spacing w:line="360" w:lineRule="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地点：上海市嘉定区荣联路68号采购处</w:t>
      </w:r>
    </w:p>
    <w:p>
      <w:pPr>
        <w:shd w:val="clear"/>
        <w:spacing w:line="360" w:lineRule="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5.采购人信息</w:t>
      </w:r>
    </w:p>
    <w:p>
      <w:pPr>
        <w:shd w:val="clear"/>
        <w:spacing w:line="360" w:lineRule="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买方名称：上海市中医医院</w:t>
      </w:r>
    </w:p>
    <w:p>
      <w:pPr>
        <w:shd w:val="clear"/>
        <w:spacing w:line="360" w:lineRule="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买方地址：上海市嘉定区荣联路68号</w:t>
      </w:r>
    </w:p>
    <w:p>
      <w:pPr>
        <w:shd w:val="clear"/>
        <w:spacing w:line="360" w:lineRule="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邮编：200071</w:t>
      </w:r>
      <w:bookmarkStart w:id="18" w:name="_GoBack"/>
      <w:bookmarkEnd w:id="18"/>
    </w:p>
    <w:p>
      <w:pPr>
        <w:shd w:val="clear"/>
        <w:spacing w:line="360" w:lineRule="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电话：021-56639828-51237</w:t>
      </w:r>
    </w:p>
    <w:p>
      <w:pPr>
        <w:shd w:val="clear"/>
        <w:spacing w:line="360" w:lineRule="auto"/>
        <w:rPr>
          <w:rFonts w:ascii="宋体" w:hAnsi="宋体" w:eastAsia="宋体" w:cs="Times New Roman"/>
          <w:sz w:val="24"/>
          <w:szCs w:val="24"/>
          <w:highlight w:val="none"/>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r>
        <w:rPr>
          <w:rFonts w:hint="eastAsia" w:ascii="宋体" w:hAnsi="宋体" w:eastAsia="宋体" w:cs="Times New Roman"/>
          <w:sz w:val="24"/>
          <w:szCs w:val="24"/>
          <w:highlight w:val="none"/>
        </w:rPr>
        <w:t>联系人：陆丹</w:t>
      </w:r>
    </w:p>
    <w:p>
      <w:pPr>
        <w:keepNext/>
        <w:keepLines/>
        <w:shd w:val="clear"/>
        <w:autoSpaceDE w:val="0"/>
        <w:autoSpaceDN w:val="0"/>
        <w:spacing w:before="260" w:after="260" w:line="360" w:lineRule="auto"/>
        <w:jc w:val="center"/>
        <w:outlineLvl w:val="2"/>
        <w:rPr>
          <w:rFonts w:ascii="宋体" w:hAnsi="宋体" w:eastAsia="宋体" w:cs="Times New Roman"/>
          <w:b/>
          <w:sz w:val="36"/>
          <w:szCs w:val="20"/>
          <w:highlight w:val="none"/>
        </w:rPr>
      </w:pPr>
      <w:bookmarkStart w:id="8" w:name="_Toc9066359"/>
      <w:bookmarkStart w:id="9" w:name="_Toc11326093"/>
      <w:bookmarkStart w:id="10" w:name="_Toc516880880"/>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shd w:val="clea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hd w:val="clea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shd w:val="clear" w:color="auto" w:fill="auto"/>
            <w:vAlign w:val="center"/>
          </w:tcPr>
          <w:p>
            <w:pPr>
              <w:shd w:val="clea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shd w:val="clear"/>
              </w:rPr>
              <w:t>种植系统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shd w:val="clear" w:color="auto" w:fill="auto"/>
            <w:vAlign w:val="center"/>
          </w:tcPr>
          <w:p>
            <w:pPr>
              <w:shd w:val="clea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Times New Roman"/>
                <w:sz w:val="24"/>
                <w:szCs w:val="20"/>
                <w:highlight w:val="none"/>
                <w:shd w:val="clear"/>
              </w:rPr>
              <w:t>：</w:t>
            </w:r>
            <w:r>
              <w:rPr>
                <w:rFonts w:hint="eastAsia" w:ascii="宋体" w:hAnsi="宋体" w:eastAsia="宋体" w:cs="宋体"/>
                <w:kern w:val="0"/>
                <w:sz w:val="24"/>
                <w:szCs w:val="24"/>
                <w:highlight w:val="none"/>
                <w:shd w:val="clear"/>
              </w:rPr>
              <w:t>种植系统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shd w:val="clear" w:color="auto" w:fill="auto"/>
            <w:vAlign w:val="center"/>
          </w:tcPr>
          <w:p>
            <w:pPr>
              <w:shd w:val="clea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shd w:val="clear"/>
              </w:rPr>
              <w:t>政采资金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hd w:val="clea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3.投标分项报价表。</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4.货物说明一览表。</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hd w:val="clear"/>
              <w:spacing w:line="360" w:lineRule="auto"/>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7.设备系统配置的详细清单（包括软硬件及伴随服务）。</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8.提供详细配件清单及价格。</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w:t>
            </w:r>
            <w:r>
              <w:rPr>
                <w:rFonts w:ascii="宋体" w:hAnsi="宋体" w:eastAsia="宋体" w:cs="Times New Roman"/>
                <w:sz w:val="24"/>
                <w:szCs w:val="20"/>
                <w:highlight w:val="none"/>
              </w:rPr>
              <w:t>1</w:t>
            </w:r>
          </w:p>
        </w:tc>
        <w:tc>
          <w:tcPr>
            <w:tcW w:w="8366" w:type="dxa"/>
            <w:vAlign w:val="center"/>
          </w:tcPr>
          <w:p>
            <w:pPr>
              <w:shd w:val="clea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shd w:val="clea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hd w:val="clea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hd w:val="clea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shd w:val="clea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shd w:val="clea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shd w:val="clea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（1）EXW（出厂价）（应包括增值税和其它税费）。</w:t>
            </w:r>
          </w:p>
          <w:p>
            <w:pPr>
              <w:shd w:val="clea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（2）运至最终目的地的关境内运输费、保险费等相关费用。</w:t>
            </w:r>
          </w:p>
          <w:p>
            <w:pPr>
              <w:shd w:val="clea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（3）各种售前、安装调试、验收以及移交等合同履行期间的伴随服务费用。</w:t>
            </w:r>
          </w:p>
          <w:p>
            <w:pPr>
              <w:shd w:val="clea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（4）按照第四章相应条款中列出的各类培训费用。</w:t>
            </w:r>
          </w:p>
          <w:p>
            <w:pPr>
              <w:shd w:val="clea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shd w:val="clea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p>
          <w:p>
            <w:pPr>
              <w:shd w:val="clea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p>
          <w:p>
            <w:pPr>
              <w:shd w:val="clea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（3）各种售前、安装调试、验收以及移交等合同履行期间的伴随服务费用。</w:t>
            </w:r>
          </w:p>
          <w:p>
            <w:pPr>
              <w:shd w:val="clea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按照第四章相应条款中列出的各类培训费用。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p>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p>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ascii="宋体" w:hAnsi="宋体" w:eastAsia="宋体" w:cs="Times New Roman"/>
                <w:sz w:val="24"/>
                <w:szCs w:val="20"/>
                <w:highlight w:val="none"/>
              </w:rPr>
              <w:t xml:space="preserve"> </w:t>
            </w:r>
          </w:p>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（4）投标人是专业生产本次所需设备的制造商，或由制造商指定代理商作为本次投标的授权代理。</w:t>
            </w:r>
          </w:p>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rPr>
              <w:t>。</w:t>
            </w:r>
          </w:p>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val="en-US" w:eastAsia="zh-CN"/>
              </w:rPr>
              <w:t>或《第一类医疗器械备案凭证》</w:t>
            </w:r>
            <w:r>
              <w:rPr>
                <w:rFonts w:hint="eastAsia" w:ascii="宋体" w:hAnsi="宋体" w:eastAsia="宋体" w:cs="Times New Roman"/>
                <w:sz w:val="24"/>
                <w:szCs w:val="20"/>
                <w:highlight w:val="none"/>
              </w:rPr>
              <w:t>。</w:t>
            </w:r>
          </w:p>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（7）投标人提供的投标机型应是原产地的全新产品。</w:t>
            </w:r>
          </w:p>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（8）投标人提供的投标机型应在中国国内有装机用户。</w:t>
            </w:r>
          </w:p>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shd w:val="clea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shd w:val="clea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shd w:val="clea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shd w:val="clea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shd w:val="clea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hd w:val="clea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pPr>
              <w:shd w:val="clea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p>
          <w:p>
            <w:pPr>
              <w:shd w:val="clea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p>
          <w:p>
            <w:pPr>
              <w:shd w:val="clea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（6）投标机型在中国国内的销售业绩，并提供装机用户名单（有用户名称）。</w:t>
            </w:r>
          </w:p>
          <w:p>
            <w:pPr>
              <w:shd w:val="clea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p>
          <w:p>
            <w:pPr>
              <w:shd w:val="clea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p>
          <w:p>
            <w:pPr>
              <w:shd w:val="clea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shd w:val="clea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shd w:val="clea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hd w:val="clea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w:t>
            </w:r>
            <w:r>
              <w:rPr>
                <w:rFonts w:hint="eastAsia" w:ascii="宋体" w:hAnsi="宋体" w:eastAsia="宋体" w:cs="Times New Roman"/>
                <w:sz w:val="24"/>
                <w:szCs w:val="20"/>
                <w:highlight w:val="none"/>
                <w:shd w:val="clear"/>
              </w:rPr>
              <w:t>：2024年</w:t>
            </w:r>
            <w:r>
              <w:rPr>
                <w:rFonts w:hint="eastAsia" w:ascii="宋体" w:hAnsi="宋体" w:eastAsia="宋体" w:cs="Times New Roman"/>
                <w:sz w:val="24"/>
                <w:szCs w:val="20"/>
                <w:highlight w:val="none"/>
                <w:shd w:val="clear"/>
                <w:lang w:val="en-US" w:eastAsia="zh-CN"/>
              </w:rPr>
              <w:t>10</w:t>
            </w:r>
            <w:r>
              <w:rPr>
                <w:rFonts w:hint="eastAsia" w:ascii="宋体" w:hAnsi="宋体" w:eastAsia="宋体" w:cs="Times New Roman"/>
                <w:sz w:val="24"/>
                <w:szCs w:val="20"/>
                <w:highlight w:val="none"/>
                <w:shd w:val="clear"/>
              </w:rPr>
              <w:t>月</w:t>
            </w:r>
            <w:r>
              <w:rPr>
                <w:rFonts w:hint="eastAsia" w:ascii="宋体" w:hAnsi="宋体" w:eastAsia="宋体" w:cs="Times New Roman"/>
                <w:sz w:val="24"/>
                <w:szCs w:val="20"/>
                <w:highlight w:val="none"/>
                <w:shd w:val="clear"/>
                <w:lang w:val="en-US" w:eastAsia="zh-CN"/>
              </w:rPr>
              <w:t>25</w:t>
            </w:r>
            <w:r>
              <w:rPr>
                <w:rFonts w:hint="eastAsia" w:ascii="宋体" w:hAnsi="宋体" w:eastAsia="宋体" w:cs="Times New Roman"/>
                <w:sz w:val="24"/>
                <w:szCs w:val="20"/>
                <w:highlight w:val="none"/>
                <w:shd w:val="clear"/>
              </w:rPr>
              <w:t>日</w:t>
            </w:r>
            <w:r>
              <w:rPr>
                <w:rFonts w:ascii="宋体" w:hAnsi="宋体" w:eastAsia="宋体" w:cs="Times New Roman"/>
                <w:sz w:val="24"/>
                <w:szCs w:val="20"/>
                <w:highlight w:val="none"/>
                <w:shd w:val="clear"/>
              </w:rPr>
              <w:t>北京时间</w:t>
            </w:r>
            <w:r>
              <w:rPr>
                <w:rFonts w:hint="eastAsia" w:ascii="宋体" w:hAnsi="宋体" w:eastAsia="宋体" w:cs="Times New Roman"/>
                <w:sz w:val="24"/>
                <w:szCs w:val="20"/>
                <w:highlight w:val="none"/>
                <w:shd w:val="clear"/>
              </w:rPr>
              <w:t>13：00</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地点：另行通知</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shd w:val="clear"/>
              </w:rPr>
              <w:t>：</w:t>
            </w:r>
            <w:r>
              <w:rPr>
                <w:rFonts w:hint="eastAsia" w:ascii="宋体" w:hAnsi="宋体" w:eastAsia="宋体" w:cs="Times New Roman"/>
                <w:sz w:val="24"/>
                <w:szCs w:val="24"/>
                <w:highlight w:val="none"/>
                <w:shd w:val="clear"/>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中国关境内的备件供应和售后服务设施：详见第四章“货物需求一览表及技术规格”中的相应要求，投标人对其要求的偏离按照本资料表第26.4.7条款的规定执行。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（1）招标文件中加注“★”号的为重要条款（参数），对任一重要条款（参数）的偏离，其投标将被否决。</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hd w:val="clea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12</w:t>
            </w:r>
          </w:p>
        </w:tc>
        <w:tc>
          <w:tcPr>
            <w:tcW w:w="8366"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hd w:val="clea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hd w:val="clea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hd w:val="clea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p>
          <w:p>
            <w:pPr>
              <w:shd w:val="clea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（2）投标人需在投标时出具承担加征关税以及由此增加的增值税等额外税费的承诺书。</w:t>
            </w:r>
          </w:p>
          <w:p>
            <w:pPr>
              <w:shd w:val="clea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shd w:val="clear"/>
        <w:autoSpaceDE w:val="0"/>
        <w:autoSpaceDN w:val="0"/>
        <w:spacing w:before="260" w:after="260" w:line="360" w:lineRule="auto"/>
        <w:ind w:left="1919" w:leftChars="914" w:firstLine="1080" w:firstLineChars="300"/>
        <w:outlineLvl w:val="2"/>
        <w:rPr>
          <w:rFonts w:ascii="宋体" w:hAnsi="宋体" w:eastAsia="宋体" w:cs="Times New Roman"/>
          <w:b/>
          <w:sz w:val="36"/>
          <w:szCs w:val="20"/>
          <w:highlight w:val="none"/>
        </w:rPr>
      </w:pPr>
      <w:bookmarkStart w:id="11" w:name="_Toc11326094"/>
      <w:bookmarkStart w:id="12" w:name="_Toc9066360"/>
      <w:r>
        <w:rPr>
          <w:rFonts w:hint="eastAsia" w:ascii="宋体" w:hAnsi="宋体" w:eastAsia="宋体" w:cs="Times New Roman"/>
          <w:b/>
          <w:sz w:val="36"/>
          <w:szCs w:val="20"/>
          <w:highlight w:val="none"/>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hd w:val="clea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584" w:type="dxa"/>
            <w:vAlign w:val="center"/>
          </w:tcPr>
          <w:p>
            <w:pPr>
              <w:shd w:val="clea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 xml:space="preserve">1.1 </w:t>
            </w:r>
          </w:p>
        </w:tc>
        <w:tc>
          <w:tcPr>
            <w:tcW w:w="8584"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4"/>
                <w:highlight w:val="none"/>
                <w:shd w:val="clear"/>
              </w:rPr>
              <w:t>上海市嘉定区荣联路68号</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shd w:val="clear"/>
              </w:rPr>
              <w:t>51237</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shd w:val="clear"/>
              </w:rPr>
              <w:t>陆丹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hd w:val="clea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584"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hd w:val="clear"/>
              <w:autoSpaceDE w:val="0"/>
              <w:autoSpaceDN w:val="0"/>
              <w:spacing w:line="360" w:lineRule="auto"/>
              <w:ind w:hanging="78"/>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1.3</w:t>
            </w:r>
          </w:p>
        </w:tc>
        <w:tc>
          <w:tcPr>
            <w:tcW w:w="8584" w:type="dxa"/>
            <w:vAlign w:val="center"/>
          </w:tcPr>
          <w:p>
            <w:pPr>
              <w:shd w:val="clear"/>
              <w:autoSpaceDE w:val="0"/>
              <w:autoSpaceDN w:val="0"/>
              <w:spacing w:line="360" w:lineRule="auto"/>
              <w:ind w:right="57"/>
              <w:rPr>
                <w:rFonts w:ascii="宋体" w:hAnsi="宋体" w:eastAsia="宋体" w:cs="Times New Roman"/>
                <w:sz w:val="24"/>
                <w:szCs w:val="20"/>
                <w:highlight w:val="none"/>
                <w:shd w:val="pct10" w:color="auto" w:fill="FFFFFF"/>
              </w:rPr>
            </w:pPr>
            <w:r>
              <w:rPr>
                <w:rFonts w:hint="eastAsia" w:ascii="宋体" w:hAnsi="宋体" w:eastAsia="宋体" w:cs="Times New Roman"/>
                <w:sz w:val="24"/>
                <w:szCs w:val="20"/>
                <w:highlight w:val="none"/>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1.4</w:t>
            </w:r>
          </w:p>
        </w:tc>
        <w:tc>
          <w:tcPr>
            <w:tcW w:w="8584"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1.5</w:t>
            </w:r>
          </w:p>
        </w:tc>
        <w:tc>
          <w:tcPr>
            <w:tcW w:w="8584"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1.6</w:t>
            </w:r>
          </w:p>
        </w:tc>
        <w:tc>
          <w:tcPr>
            <w:tcW w:w="8584"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1.7</w:t>
            </w:r>
          </w:p>
        </w:tc>
        <w:tc>
          <w:tcPr>
            <w:tcW w:w="8584"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免费保修期为合同货物验收合格后的3年或以上保持有效。其他相关要求详见第四章“货物需求一览表及技术规格”的相关条款。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1.8</w:t>
            </w:r>
          </w:p>
        </w:tc>
        <w:tc>
          <w:tcPr>
            <w:tcW w:w="8584" w:type="dxa"/>
            <w:vAlign w:val="center"/>
          </w:tcPr>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四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hd w:val="clea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.1</w:t>
            </w:r>
          </w:p>
        </w:tc>
        <w:tc>
          <w:tcPr>
            <w:tcW w:w="8584" w:type="dxa"/>
            <w:vAlign w:val="center"/>
          </w:tcPr>
          <w:p>
            <w:pPr>
              <w:shd w:val="clear"/>
              <w:spacing w:line="360" w:lineRule="auto"/>
              <w:ind w:left="-2" w:leftChars="-1" w:right="57" w:firstLine="48" w:firstLineChars="20"/>
              <w:rPr>
                <w:rFonts w:ascii="宋体" w:hAnsi="宋体" w:eastAsia="宋体" w:cs="Times New Roman"/>
                <w:sz w:val="24"/>
                <w:szCs w:val="20"/>
                <w:highlight w:val="none"/>
              </w:rPr>
            </w:pPr>
            <w:r>
              <w:rPr>
                <w:rFonts w:hint="eastAsia" w:ascii="宋体" w:hAnsi="宋体" w:eastAsia="宋体" w:cs="Times New Roman"/>
                <w:sz w:val="24"/>
                <w:szCs w:val="20"/>
                <w:highlight w:val="none"/>
              </w:rPr>
              <w:t>（1）货到验收合格后</w:t>
            </w:r>
            <w:r>
              <w:rPr>
                <w:rFonts w:hint="eastAsia" w:ascii="宋体" w:hAnsi="宋体" w:eastAsia="宋体" w:cs="Times New Roman"/>
                <w:sz w:val="24"/>
                <w:szCs w:val="20"/>
                <w:highlight w:val="none"/>
                <w:shd w:val="clear"/>
                <w:lang w:val="en-US" w:eastAsia="zh-CN"/>
              </w:rPr>
              <w:t>90天</w:t>
            </w:r>
            <w:r>
              <w:rPr>
                <w:rFonts w:hint="eastAsia" w:ascii="宋体" w:hAnsi="宋体" w:eastAsia="宋体" w:cs="Times New Roman"/>
                <w:sz w:val="24"/>
                <w:szCs w:val="20"/>
                <w:highlight w:val="none"/>
              </w:rPr>
              <w:t>内买方支付货款的100%；</w:t>
            </w:r>
          </w:p>
          <w:p>
            <w:pPr>
              <w:shd w:val="clea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hint="default" w:ascii="宋体" w:hAnsi="宋体" w:cs="Times New Roman" w:eastAsiaTheme="minorEastAsia"/>
                <w:sz w:val="24"/>
                <w:szCs w:val="24"/>
                <w:lang w:val="en-US" w:eastAsia="zh-CN"/>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w:t>
            </w:r>
            <w:r>
              <w:rPr>
                <w:rFonts w:hint="eastAsia" w:ascii="宋体" w:hAnsi="宋体" w:eastAsia="宋体" w:cs="Times New Roman"/>
                <w:b w:val="0"/>
                <w:bCs w:val="0"/>
                <w:color w:val="auto"/>
                <w:sz w:val="24"/>
                <w:szCs w:val="24"/>
                <w:shd w:val="clear"/>
                <w:lang w:val="en-US" w:eastAsia="zh-CN"/>
              </w:rPr>
              <w:t>24</w:t>
            </w:r>
            <w:r>
              <w:rPr>
                <w:rFonts w:hint="eastAsia" w:ascii="宋体" w:hAnsi="宋体" w:eastAsia="宋体" w:cs="Times New Roman"/>
                <w:b w:val="0"/>
                <w:bCs w:val="0"/>
                <w:color w:val="auto"/>
                <w:sz w:val="24"/>
                <w:szCs w:val="24"/>
                <w:shd w:val="clear"/>
              </w:rPr>
              <w:t>个月内生</w:t>
            </w:r>
            <w:r>
              <w:rPr>
                <w:rFonts w:hint="eastAsia" w:ascii="宋体" w:hAnsi="宋体" w:eastAsia="宋体" w:cs="Times New Roman"/>
                <w:sz w:val="24"/>
                <w:szCs w:val="24"/>
              </w:rPr>
              <w:t>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tbl>
      <w:tblPr>
        <w:tblStyle w:val="32"/>
        <w:tblpPr w:leftFromText="180" w:rightFromText="180" w:vertAnchor="text" w:tblpX="10596" w:tblpY="7577"/>
        <w:tblOverlap w:val="never"/>
        <w:tblW w:w="2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793" w:type="dxa"/>
          </w:tcPr>
          <w:p>
            <w:pPr>
              <w:keepNext/>
              <w:keepLines/>
              <w:autoSpaceDE w:val="0"/>
              <w:autoSpaceDN w:val="0"/>
              <w:spacing w:before="260" w:after="260" w:line="360" w:lineRule="auto"/>
              <w:outlineLvl w:val="2"/>
              <w:rPr>
                <w:rFonts w:ascii="宋体" w:hAnsi="宋体" w:eastAsia="宋体" w:cs="Times New Roman"/>
                <w:b/>
                <w:sz w:val="36"/>
                <w:szCs w:val="20"/>
                <w:vertAlign w:val="baseline"/>
              </w:rPr>
            </w:pPr>
          </w:p>
        </w:tc>
      </w:tr>
    </w:tbl>
    <w:tbl>
      <w:tblPr>
        <w:tblStyle w:val="32"/>
        <w:tblpPr w:leftFromText="180" w:rightFromText="180" w:vertAnchor="text" w:tblpX="10596" w:tblpY="6849"/>
        <w:tblOverlap w:val="never"/>
        <w:tblW w:w="2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793" w:type="dxa"/>
          </w:tcPr>
          <w:p>
            <w:pPr>
              <w:keepNext/>
              <w:keepLines/>
              <w:autoSpaceDE w:val="0"/>
              <w:autoSpaceDN w:val="0"/>
              <w:spacing w:before="260" w:after="260" w:line="360" w:lineRule="auto"/>
              <w:outlineLvl w:val="2"/>
              <w:rPr>
                <w:rFonts w:ascii="宋体" w:hAnsi="宋体" w:eastAsia="宋体" w:cs="Times New Roman"/>
                <w:b/>
                <w:sz w:val="36"/>
                <w:szCs w:val="20"/>
                <w:vertAlign w:val="baseline"/>
              </w:rPr>
            </w:pPr>
          </w:p>
        </w:tc>
      </w:tr>
    </w:tbl>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rPr>
      </w:pPr>
      <w:bookmarkStart w:id="13" w:name="_Toc9066361"/>
      <w:bookmarkStart w:id="14" w:name="_Toc11326095"/>
      <w:r>
        <w:rPr>
          <w:rFonts w:hint="eastAsia" w:ascii="宋体" w:hAnsi="宋体" w:eastAsia="宋体" w:cs="Times New Roman"/>
          <w:b/>
          <w:sz w:val="36"/>
          <w:szCs w:val="20"/>
        </w:rPr>
        <w:t>货物需求一览表及技术规格</w:t>
      </w:r>
      <w:bookmarkEnd w:id="13"/>
      <w:bookmarkEnd w:id="14"/>
    </w:p>
    <w:p>
      <w:pPr>
        <w:pStyle w:val="54"/>
        <w:numPr>
          <w:ilvl w:val="0"/>
          <w:numId w:val="3"/>
        </w:numPr>
        <w:shd w:val="clear"/>
        <w:spacing w:line="360" w:lineRule="auto"/>
        <w:ind w:firstLineChars="0"/>
        <w:rPr>
          <w:rFonts w:ascii="宋体" w:hAnsi="宋体" w:eastAsia="宋体"/>
          <w:sz w:val="24"/>
          <w:szCs w:val="24"/>
          <w:highlight w:val="none"/>
        </w:rPr>
      </w:pPr>
      <w:bookmarkStart w:id="15" w:name="_Toc11326096"/>
      <w:r>
        <w:rPr>
          <w:rFonts w:hint="eastAsia" w:ascii="宋体" w:hAnsi="宋体" w:eastAsia="宋体" w:cs="Times New Roman"/>
          <w:sz w:val="24"/>
          <w:szCs w:val="24"/>
          <w:highlight w:val="none"/>
        </w:rPr>
        <w:t>设备名称及数量：</w:t>
      </w:r>
      <w:r>
        <w:rPr>
          <w:rFonts w:hint="eastAsia" w:ascii="宋体" w:hAnsi="宋体" w:eastAsia="宋体" w:cs="宋体"/>
          <w:sz w:val="24"/>
          <w:szCs w:val="24"/>
          <w:highlight w:val="none"/>
          <w:shd w:val="clear"/>
          <w:lang w:eastAsia="zh-CN"/>
        </w:rPr>
        <w:t>种植系统</w:t>
      </w:r>
      <w:r>
        <w:rPr>
          <w:rFonts w:hint="eastAsia" w:ascii="宋体" w:hAnsi="宋体" w:eastAsia="宋体" w:cs="Times New Roman"/>
          <w:sz w:val="24"/>
          <w:szCs w:val="24"/>
          <w:highlight w:val="none"/>
          <w:shd w:val="clear"/>
        </w:rPr>
        <w:t>/</w:t>
      </w:r>
      <w:r>
        <w:rPr>
          <w:rFonts w:hint="eastAsia" w:ascii="宋体" w:hAnsi="宋体" w:eastAsia="宋体" w:cs="Times New Roman"/>
          <w:sz w:val="24"/>
          <w:szCs w:val="24"/>
          <w:highlight w:val="none"/>
          <w:shd w:val="clear"/>
          <w:lang w:val="en-US" w:eastAsia="zh-CN"/>
        </w:rPr>
        <w:t xml:space="preserve">叁套 </w:t>
      </w:r>
      <w:r>
        <w:rPr>
          <w:rFonts w:hint="eastAsia" w:ascii="宋体" w:hAnsi="宋体" w:eastAsia="宋体" w:cs="Times New Roman"/>
          <w:sz w:val="24"/>
          <w:szCs w:val="24"/>
          <w:highlight w:val="none"/>
          <w:lang w:val="en-US" w:eastAsia="zh-CN"/>
        </w:rPr>
        <w:t xml:space="preserve"> （项目预算：人民币16.2万元）</w:t>
      </w:r>
    </w:p>
    <w:p>
      <w:pPr>
        <w:pStyle w:val="54"/>
        <w:numPr>
          <w:ilvl w:val="0"/>
          <w:numId w:val="3"/>
        </w:numPr>
        <w:shd w:val="clear"/>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交货时间：签订合同后30天内</w:t>
      </w:r>
    </w:p>
    <w:p>
      <w:pPr>
        <w:pStyle w:val="54"/>
        <w:numPr>
          <w:ilvl w:val="0"/>
          <w:numId w:val="3"/>
        </w:numPr>
        <w:shd w:val="clear"/>
        <w:spacing w:line="360" w:lineRule="auto"/>
        <w:ind w:firstLineChars="0"/>
        <w:rPr>
          <w:rFonts w:ascii="宋体" w:hAnsi="宋体" w:eastAsia="宋体"/>
          <w:sz w:val="24"/>
          <w:szCs w:val="24"/>
          <w:highlight w:val="none"/>
        </w:rPr>
      </w:pPr>
      <w:r>
        <w:rPr>
          <w:rFonts w:hint="eastAsia" w:ascii="宋体" w:hAnsi="宋体" w:eastAsia="宋体" w:cs="宋体"/>
          <w:sz w:val="24"/>
          <w:szCs w:val="24"/>
          <w:highlight w:val="none"/>
        </w:rPr>
        <w:t>货到验收合格后</w:t>
      </w:r>
      <w:r>
        <w:rPr>
          <w:rFonts w:hint="eastAsia" w:ascii="宋体" w:hAnsi="宋体" w:eastAsia="宋体" w:cs="宋体"/>
          <w:sz w:val="24"/>
          <w:szCs w:val="24"/>
          <w:highlight w:val="none"/>
          <w:lang w:val="en-US" w:eastAsia="zh-CN"/>
        </w:rPr>
        <w:t>90天</w:t>
      </w:r>
      <w:r>
        <w:rPr>
          <w:rFonts w:hint="eastAsia" w:ascii="宋体" w:hAnsi="宋体" w:eastAsia="宋体" w:cs="宋体"/>
          <w:sz w:val="24"/>
          <w:szCs w:val="24"/>
          <w:highlight w:val="none"/>
        </w:rPr>
        <w:t>内买方支付货款的100%</w:t>
      </w:r>
    </w:p>
    <w:p>
      <w:pPr>
        <w:pStyle w:val="54"/>
        <w:numPr>
          <w:ilvl w:val="0"/>
          <w:numId w:val="3"/>
        </w:numPr>
        <w:shd w:val="clear"/>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交货地点：采购人指定地点</w:t>
      </w:r>
    </w:p>
    <w:p>
      <w:pPr>
        <w:pStyle w:val="54"/>
        <w:shd w:val="clear"/>
        <w:spacing w:line="360" w:lineRule="auto"/>
        <w:ind w:firstLine="0" w:firstLineChars="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五、</w:t>
      </w:r>
      <w:r>
        <w:rPr>
          <w:rFonts w:hint="eastAsia" w:ascii="宋体" w:hAnsi="宋体" w:eastAsia="宋体" w:cs="Times New Roman"/>
          <w:sz w:val="24"/>
          <w:szCs w:val="20"/>
          <w:highlight w:val="none"/>
        </w:rPr>
        <w:t>★</w:t>
      </w:r>
      <w:r>
        <w:rPr>
          <w:rFonts w:hint="eastAsia" w:ascii="宋体" w:hAnsi="宋体" w:eastAsia="宋体"/>
          <w:sz w:val="24"/>
          <w:szCs w:val="24"/>
          <w:highlight w:val="none"/>
        </w:rPr>
        <w:t>原厂整机质保≥</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年，出保后费率≤</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合同金额</w:t>
      </w:r>
      <w:r>
        <w:rPr>
          <w:rFonts w:hint="eastAsia" w:ascii="宋体" w:hAnsi="宋体" w:eastAsia="宋体"/>
          <w:sz w:val="24"/>
          <w:szCs w:val="24"/>
          <w:highlight w:val="none"/>
        </w:rPr>
        <w:t>。</w:t>
      </w:r>
    </w:p>
    <w:p>
      <w:pPr>
        <w:pStyle w:val="54"/>
        <w:shd w:val="clear"/>
        <w:spacing w:line="360" w:lineRule="auto"/>
        <w:ind w:firstLine="0" w:firstLineChars="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六</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每套配置由下述器械各1个（把）组成，具体技术参数要求如下</w:t>
      </w:r>
      <w:r>
        <w:rPr>
          <w:rFonts w:hint="eastAsia" w:ascii="宋体" w:hAnsi="宋体" w:eastAsia="宋体"/>
          <w:sz w:val="24"/>
          <w:szCs w:val="24"/>
          <w:highlight w:val="none"/>
          <w:lang w:eastAsia="zh-CN"/>
        </w:rPr>
        <w:t>：</w:t>
      </w:r>
    </w:p>
    <w:tbl>
      <w:tblPr>
        <w:tblStyle w:val="31"/>
        <w:tblW w:w="9245"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59"/>
        <w:gridCol w:w="6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4"/>
                <w:szCs w:val="24"/>
                <w:u w:val="none"/>
                <w:lang w:val="en-US"/>
              </w:rPr>
            </w:pPr>
            <w:r>
              <w:rPr>
                <w:rFonts w:hint="default" w:ascii="微软雅黑" w:hAnsi="微软雅黑" w:eastAsia="微软雅黑" w:cs="微软雅黑"/>
                <w:b/>
                <w:bCs/>
                <w:i w:val="0"/>
                <w:iCs w:val="0"/>
                <w:color w:val="000000"/>
                <w:kern w:val="0"/>
                <w:sz w:val="24"/>
                <w:szCs w:val="24"/>
                <w:u w:val="none"/>
                <w:lang w:val="en-US" w:eastAsia="zh-CN" w:bidi="ar"/>
              </w:rPr>
              <w:t>产品</w:t>
            </w:r>
            <w:r>
              <w:rPr>
                <w:rFonts w:hint="eastAsia" w:ascii="微软雅黑" w:hAnsi="微软雅黑" w:eastAsia="微软雅黑" w:cs="微软雅黑"/>
                <w:b/>
                <w:bCs/>
                <w:i w:val="0"/>
                <w:iCs w:val="0"/>
                <w:color w:val="000000"/>
                <w:kern w:val="0"/>
                <w:sz w:val="24"/>
                <w:szCs w:val="24"/>
                <w:u w:val="none"/>
                <w:lang w:val="en-US" w:eastAsia="zh-CN" w:bidi="ar"/>
              </w:rPr>
              <w:t>要求</w:t>
            </w:r>
          </w:p>
        </w:tc>
        <w:tc>
          <w:tcPr>
            <w:tcW w:w="6886" w:type="dxa"/>
            <w:tcBorders>
              <w:top w:val="single" w:color="000000" w:sz="8" w:space="0"/>
              <w:left w:val="single" w:color="000000" w:sz="8"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工具盒</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能够适用临床主流种植工具摆放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球钻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w:t>
            </w:r>
            <w:r>
              <w:rPr>
                <w:rStyle w:val="211"/>
                <w:rFonts w:eastAsia="微软雅黑"/>
                <w:color w:val="auto"/>
                <w:lang w:val="en-US" w:eastAsia="zh-CN" w:bidi="ar"/>
              </w:rPr>
              <w:t>≤</w:t>
            </w:r>
            <w:r>
              <w:rPr>
                <w:rStyle w:val="212"/>
                <w:color w:val="auto"/>
                <w:lang w:val="en-US" w:eastAsia="zh-CN" w:bidi="ar"/>
              </w:rPr>
              <w:t>1.5 mm，不锈钢,用于磨平牙槽嵴尖窄端以及对植入部位进行定位。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球钻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球钻 直径</w:t>
            </w:r>
            <w:r>
              <w:rPr>
                <w:rStyle w:val="211"/>
                <w:rFonts w:eastAsia="微软雅黑"/>
                <w:color w:val="auto"/>
                <w:lang w:val="en-US" w:eastAsia="zh-CN" w:bidi="ar"/>
              </w:rPr>
              <w:t>≤</w:t>
            </w:r>
            <w:r>
              <w:rPr>
                <w:rStyle w:val="212"/>
                <w:color w:val="auto"/>
                <w:lang w:val="en-US" w:eastAsia="zh-CN" w:bidi="ar"/>
              </w:rPr>
              <w:t>2.5 mm，不锈钢 球钻用于磨平牙槽嵴尖窄端以及对植入部位进行定位。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eastAsia" w:ascii="宋体" w:hAnsi="宋体" w:eastAsia="宋体" w:cs="Times New Roman"/>
                <w:sz w:val="24"/>
                <w:szCs w:val="20"/>
                <w:highlight w:val="none"/>
              </w:rPr>
              <w:t>★</w:t>
            </w:r>
            <w:r>
              <w:rPr>
                <w:rFonts w:hint="default" w:ascii="微软雅黑" w:hAnsi="微软雅黑" w:eastAsia="微软雅黑" w:cs="微软雅黑"/>
                <w:i w:val="0"/>
                <w:iCs w:val="0"/>
                <w:color w:val="auto"/>
                <w:kern w:val="0"/>
                <w:sz w:val="24"/>
                <w:szCs w:val="24"/>
                <w:u w:val="none"/>
                <w:lang w:val="en-US" w:eastAsia="zh-CN" w:bidi="ar"/>
              </w:rPr>
              <w:t>球钻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球钻 直径≥3.0 mm，不锈钢 球钻用于磨平牙槽嵴尖窄端以及对植入部位进行定位。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螺丝刀</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种植体安装器械 适用于棘轮扳手，长度</w:t>
            </w:r>
            <w:r>
              <w:rPr>
                <w:rStyle w:val="211"/>
                <w:rFonts w:eastAsia="微软雅黑"/>
                <w:color w:val="auto"/>
                <w:lang w:val="en-US" w:eastAsia="zh-CN" w:bidi="ar"/>
              </w:rPr>
              <w:t>≥</w:t>
            </w:r>
            <w:r>
              <w:rPr>
                <w:rStyle w:val="212"/>
                <w:color w:val="auto"/>
                <w:lang w:val="en-US" w:eastAsia="zh-CN" w:bidi="ar"/>
              </w:rPr>
              <w:t>15cm用于种植体植入后，安装基台、牙冠，取模等。用于牙科种植体安装过程的工具。可重复使用。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螺丝刀</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种植体安装器械 适用于棘轮扳手，长度</w:t>
            </w:r>
            <w:r>
              <w:rPr>
                <w:rStyle w:val="211"/>
                <w:rFonts w:eastAsia="微软雅黑"/>
                <w:color w:val="auto"/>
                <w:lang w:val="en-US" w:eastAsia="zh-CN" w:bidi="ar"/>
              </w:rPr>
              <w:t>≥</w:t>
            </w:r>
            <w:r>
              <w:rPr>
                <w:rStyle w:val="212"/>
                <w:color w:val="auto"/>
                <w:lang w:val="en-US" w:eastAsia="zh-CN" w:bidi="ar"/>
              </w:rPr>
              <w:t>20cm用于种植体植入后，安装基台、牙冠，取模等。用于牙科种植体安装过程的工具。可重复使用。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eastAsia" w:ascii="宋体" w:hAnsi="宋体" w:eastAsia="宋体" w:cs="Times New Roman"/>
                <w:sz w:val="24"/>
                <w:szCs w:val="20"/>
                <w:highlight w:val="none"/>
              </w:rPr>
              <w:t>★</w:t>
            </w:r>
            <w:r>
              <w:rPr>
                <w:rFonts w:hint="default" w:ascii="微软雅黑" w:hAnsi="微软雅黑" w:eastAsia="微软雅黑" w:cs="微软雅黑"/>
                <w:i w:val="0"/>
                <w:iCs w:val="0"/>
                <w:color w:val="auto"/>
                <w:kern w:val="0"/>
                <w:sz w:val="24"/>
                <w:szCs w:val="24"/>
                <w:u w:val="none"/>
                <w:lang w:val="en-US" w:eastAsia="zh-CN" w:bidi="ar"/>
              </w:rPr>
              <w:t>螺丝刀</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种植体安装器械 适用于棘轮扳手，长度≥27cm用于种植体植入后，安装基台、牙冠，取模等。用于牙科种植体安装过程的工具。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先锋钻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直径≥2.0 mm，长≥30 mm，不锈钢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先锋钻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直径≥2.0 mm，长≥40 mm，不锈钢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先锋钻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直径≥2.5mm，长≥30 mm，不锈钢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eastAsia" w:ascii="宋体" w:hAnsi="宋体" w:eastAsia="宋体" w:cs="Times New Roman"/>
                <w:sz w:val="24"/>
                <w:szCs w:val="20"/>
                <w:highlight w:val="none"/>
              </w:rPr>
              <w:t>★</w:t>
            </w:r>
            <w:r>
              <w:rPr>
                <w:rFonts w:hint="default" w:ascii="微软雅黑" w:hAnsi="微软雅黑" w:eastAsia="微软雅黑" w:cs="微软雅黑"/>
                <w:i w:val="0"/>
                <w:iCs w:val="0"/>
                <w:color w:val="auto"/>
                <w:kern w:val="0"/>
                <w:sz w:val="24"/>
                <w:szCs w:val="24"/>
                <w:u w:val="none"/>
                <w:lang w:val="en-US" w:eastAsia="zh-CN" w:bidi="ar"/>
              </w:rPr>
              <w:t>先锋钻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直径≥2.5 mm，长≥40 mm，不锈钢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扩孔钻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直径≥3.5mm，长度≥30mm，不锈钢 牙钻用于牙科种植体手术中钻孔。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扩孔钻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直径≥3.5mm，长度≥40mm，不锈钢 牙钻用于牙科种植体手术中钻孔。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扩孔钻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直径≥4.0 mm，长≥30 mm，不锈钢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eastAsia" w:ascii="宋体" w:hAnsi="宋体" w:eastAsia="宋体" w:cs="Times New Roman"/>
                <w:sz w:val="24"/>
                <w:szCs w:val="20"/>
                <w:highlight w:val="none"/>
              </w:rPr>
              <w:t>★</w:t>
            </w:r>
            <w:r>
              <w:rPr>
                <w:rFonts w:hint="default" w:ascii="微软雅黑" w:hAnsi="微软雅黑" w:eastAsia="微软雅黑" w:cs="微软雅黑"/>
                <w:i w:val="0"/>
                <w:iCs w:val="0"/>
                <w:color w:val="auto"/>
                <w:kern w:val="0"/>
                <w:sz w:val="24"/>
                <w:szCs w:val="24"/>
                <w:u w:val="none"/>
                <w:lang w:val="en-US" w:eastAsia="zh-CN" w:bidi="ar"/>
              </w:rPr>
              <w:t>扩孔钻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直径≥4.0 mm，长≥40 mm，不锈钢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成型钻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w:t>
            </w:r>
            <w:r>
              <w:rPr>
                <w:rStyle w:val="211"/>
                <w:rFonts w:eastAsia="微软雅黑"/>
                <w:color w:val="auto"/>
                <w:lang w:val="en-US" w:eastAsia="zh-CN" w:bidi="ar"/>
              </w:rPr>
              <w:t>≤</w:t>
            </w:r>
            <w:r>
              <w:rPr>
                <w:rStyle w:val="212"/>
                <w:color w:val="auto"/>
                <w:lang w:val="en-US" w:eastAsia="zh-CN" w:bidi="ar"/>
              </w:rPr>
              <w:t>4.5mm，长</w:t>
            </w:r>
            <w:r>
              <w:rPr>
                <w:rStyle w:val="211"/>
                <w:rFonts w:eastAsia="微软雅黑"/>
                <w:color w:val="auto"/>
                <w:lang w:val="en-US" w:eastAsia="zh-CN" w:bidi="ar"/>
              </w:rPr>
              <w:t>≤</w:t>
            </w:r>
            <w:r>
              <w:rPr>
                <w:rStyle w:val="212"/>
                <w:color w:val="auto"/>
                <w:lang w:val="en-US" w:eastAsia="zh-CN" w:bidi="ar"/>
              </w:rPr>
              <w:t>25 mm，不锈钢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成型钻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w:t>
            </w:r>
            <w:r>
              <w:rPr>
                <w:rStyle w:val="211"/>
                <w:rFonts w:eastAsia="微软雅黑"/>
                <w:color w:val="auto"/>
                <w:lang w:val="en-US" w:eastAsia="zh-CN" w:bidi="ar"/>
              </w:rPr>
              <w:t>≤</w:t>
            </w:r>
            <w:r>
              <w:rPr>
                <w:rStyle w:val="212"/>
                <w:color w:val="auto"/>
                <w:lang w:val="en-US" w:eastAsia="zh-CN" w:bidi="ar"/>
              </w:rPr>
              <w:t xml:space="preserve"> 4.0mm，长</w:t>
            </w:r>
            <w:r>
              <w:rPr>
                <w:rStyle w:val="211"/>
                <w:rFonts w:eastAsia="微软雅黑"/>
                <w:color w:val="auto"/>
                <w:lang w:val="en-US" w:eastAsia="zh-CN" w:bidi="ar"/>
              </w:rPr>
              <w:t>≤</w:t>
            </w:r>
            <w:r>
              <w:rPr>
                <w:rStyle w:val="212"/>
                <w:color w:val="auto"/>
                <w:lang w:val="en-US" w:eastAsia="zh-CN" w:bidi="ar"/>
              </w:rPr>
              <w:t>25mm，不锈钢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成型钻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w:t>
            </w:r>
            <w:r>
              <w:rPr>
                <w:rStyle w:val="211"/>
                <w:rFonts w:eastAsia="微软雅黑"/>
                <w:color w:val="auto"/>
                <w:lang w:val="en-US" w:eastAsia="zh-CN" w:bidi="ar"/>
              </w:rPr>
              <w:t>≤</w:t>
            </w:r>
            <w:r>
              <w:rPr>
                <w:rStyle w:val="212"/>
                <w:color w:val="auto"/>
                <w:lang w:val="en-US" w:eastAsia="zh-CN" w:bidi="ar"/>
              </w:rPr>
              <w:t xml:space="preserve"> 3.0mm，长</w:t>
            </w:r>
            <w:r>
              <w:rPr>
                <w:rStyle w:val="211"/>
                <w:rFonts w:eastAsia="微软雅黑"/>
                <w:color w:val="auto"/>
                <w:lang w:val="en-US" w:eastAsia="zh-CN" w:bidi="ar"/>
              </w:rPr>
              <w:t>≤</w:t>
            </w:r>
            <w:r>
              <w:rPr>
                <w:rStyle w:val="212"/>
                <w:color w:val="auto"/>
                <w:lang w:val="en-US" w:eastAsia="zh-CN" w:bidi="ar"/>
              </w:rPr>
              <w:t>35 mm，不锈钢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成型钻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直径≥3.5mm，长≤35mm，不锈钢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成型钻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直径≥3.0 mm，长≥35cm，不锈钢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成型钻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直径≥4.0mm，长≥35cm，不锈钢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成型钻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直径≥4.5mm，长≥25cm，不锈钢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eastAsia" w:ascii="宋体" w:hAnsi="宋体" w:eastAsia="宋体" w:cs="Times New Roman"/>
                <w:sz w:val="24"/>
                <w:szCs w:val="20"/>
                <w:highlight w:val="none"/>
              </w:rPr>
              <w:t>★</w:t>
            </w:r>
            <w:r>
              <w:rPr>
                <w:rFonts w:hint="default" w:ascii="微软雅黑" w:hAnsi="微软雅黑" w:eastAsia="微软雅黑" w:cs="微软雅黑"/>
                <w:i w:val="0"/>
                <w:iCs w:val="0"/>
                <w:color w:val="auto"/>
                <w:kern w:val="0"/>
                <w:sz w:val="24"/>
                <w:szCs w:val="24"/>
                <w:u w:val="none"/>
                <w:lang w:val="en-US" w:eastAsia="zh-CN" w:bidi="ar"/>
              </w:rPr>
              <w:t>成型钻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直径≥4.0 mm，长≥25cm，不锈钢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适配器攻丝</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直径≥3.0mm，长≥20 mm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适配器攻丝</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直径≥4.0mm，长≥20 mm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适配器攻丝</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直径≥4.5 mm，长≥20 mm 专门用于牙科种植体系统的植入手术、术后修复工作，适用于口腔种植过程中松质骨的钻孔，为植入牙科种植体做准备。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先锋钻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直径≥2.0mm，长≥30mm。用于牙科种植体手术中钻孔。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先锋钻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直径≥2.0mm，长≥40mm。用于牙科种植体手术中钻孔。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扩孔钻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直径≥2.5mm，长≥30mm。用于牙科种植体手术中钻孔。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扩孔钻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直径≥2.5mm，长≥40mm。用于牙科种植体手术中钻孔。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扩孔钻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直径≥3.5mm，长≥30mm。用于牙科种植体手术中钻孔。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扩孔钻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直径≥3.5mm，长≥40mm。用于牙科种植体手术中钻孔。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eastAsia" w:ascii="宋体" w:hAnsi="宋体" w:eastAsia="宋体" w:cs="Times New Roman"/>
                <w:sz w:val="24"/>
                <w:szCs w:val="20"/>
                <w:highlight w:val="none"/>
              </w:rPr>
              <w:t>★</w:t>
            </w:r>
            <w:r>
              <w:rPr>
                <w:rFonts w:hint="default" w:ascii="微软雅黑" w:hAnsi="微软雅黑" w:eastAsia="微软雅黑" w:cs="微软雅黑"/>
                <w:i w:val="0"/>
                <w:iCs w:val="0"/>
                <w:color w:val="auto"/>
                <w:kern w:val="0"/>
                <w:sz w:val="24"/>
                <w:szCs w:val="24"/>
                <w:u w:val="none"/>
                <w:lang w:val="en-US" w:eastAsia="zh-CN" w:bidi="ar"/>
              </w:rPr>
              <w:t>扩孔钻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直径≥4.0mm，长≥30mm。用于牙科种植体手术中钻孔。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成型钻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直径≥3.0mm。用于牙科种植体手术中钻孔。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成型钻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直径≥4.0mm。用于牙科种植体手术中钻孔。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成型钻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直径≥4.0mm。用于牙科种植体手术中钻孔。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成型钻</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直径≥4.5mm。用于牙科种植体手术中钻孔。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攻丝</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直径≥3.0mm，长≥25mm。用于牙科种植体手术中钻孔。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攻丝</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直径≥4.0mm，长≥25mm。用于牙科种植体手术中钻孔。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攻丝</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直径≥4.5mm，长≥25mm。用于牙科种植体手术中钻孔。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上颌窦提升器套装</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上颌窦提升器，适用于部分上颌窦提升。用于牙科种植过程。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适配器</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植入不带携带器种植体，与棘轮扳手相连接，手用种钉器。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适配器</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植入带携带器种植体，与棘轮扳手相连接，机用八角扳手。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适配器</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植入带携带器种植体，与棘轮扳手相连接，机用八角扳手。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棘轮扳手</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用于牙科手动种植过程，驱动螺丝起或八角扳手。长≥80mm。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扭矩控制器</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确定螺丝力矩或种植体种植力矩的扭力控制器，与棘轮扳手配合使用。长≥80mm</w:t>
            </w: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固定扳手</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rPr>
            </w:pPr>
            <w:r>
              <w:rPr>
                <w:rFonts w:hint="default" w:ascii="微软雅黑" w:hAnsi="微软雅黑" w:eastAsia="微软雅黑" w:cs="微软雅黑"/>
                <w:i w:val="0"/>
                <w:iCs w:val="0"/>
                <w:color w:val="auto"/>
                <w:kern w:val="0"/>
                <w:sz w:val="24"/>
                <w:szCs w:val="24"/>
                <w:u w:val="none"/>
                <w:lang w:val="en-US" w:eastAsia="zh-CN" w:bidi="ar"/>
              </w:rPr>
              <w:t>用于牙科手动种植过程，固定住携带器用。长≥85mm</w:t>
            </w: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测量杆</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用于</w:t>
            </w:r>
            <w:r>
              <w:rPr>
                <w:rFonts w:hint="default" w:ascii="微软雅黑" w:hAnsi="微软雅黑" w:eastAsia="微软雅黑" w:cs="微软雅黑"/>
                <w:i w:val="0"/>
                <w:iCs w:val="0"/>
                <w:color w:val="auto"/>
                <w:kern w:val="0"/>
                <w:sz w:val="24"/>
                <w:szCs w:val="24"/>
                <w:u w:val="none"/>
                <w:lang w:val="en-US" w:eastAsia="zh-CN" w:bidi="ar"/>
              </w:rPr>
              <w:t>骨水平锥柱状种植体，</w:t>
            </w:r>
            <w:r>
              <w:rPr>
                <w:rFonts w:hint="eastAsia" w:ascii="微软雅黑" w:hAnsi="微软雅黑" w:eastAsia="微软雅黑" w:cs="微软雅黑"/>
                <w:i w:val="0"/>
                <w:iCs w:val="0"/>
                <w:color w:val="auto"/>
                <w:kern w:val="0"/>
                <w:sz w:val="24"/>
                <w:szCs w:val="24"/>
                <w:u w:val="none"/>
                <w:lang w:val="en-US" w:eastAsia="zh-CN" w:bidi="ar"/>
              </w:rPr>
              <w:t>直径</w:t>
            </w:r>
            <w:r>
              <w:rPr>
                <w:rFonts w:hint="default" w:ascii="微软雅黑" w:hAnsi="微软雅黑" w:eastAsia="微软雅黑" w:cs="微软雅黑"/>
                <w:i w:val="0"/>
                <w:iCs w:val="0"/>
                <w:color w:val="auto"/>
                <w:kern w:val="0"/>
                <w:sz w:val="24"/>
                <w:szCs w:val="24"/>
                <w:u w:val="none"/>
                <w:lang w:val="en-US" w:eastAsia="zh-CN" w:bidi="ar"/>
              </w:rPr>
              <w:t>≥2.</w:t>
            </w:r>
            <w:r>
              <w:rPr>
                <w:rFonts w:hint="eastAsia" w:ascii="微软雅黑" w:hAnsi="微软雅黑" w:eastAsia="微软雅黑" w:cs="微软雅黑"/>
                <w:i w:val="0"/>
                <w:iCs w:val="0"/>
                <w:color w:val="auto"/>
                <w:kern w:val="0"/>
                <w:sz w:val="24"/>
                <w:szCs w:val="24"/>
                <w:u w:val="none"/>
                <w:lang w:val="en-US" w:eastAsia="zh-CN" w:bidi="ar"/>
              </w:rPr>
              <w:t>0</w:t>
            </w:r>
            <w:r>
              <w:rPr>
                <w:rFonts w:hint="default" w:ascii="微软雅黑" w:hAnsi="微软雅黑" w:eastAsia="微软雅黑" w:cs="微软雅黑"/>
                <w:i w:val="0"/>
                <w:iCs w:val="0"/>
                <w:color w:val="auto"/>
                <w:kern w:val="0"/>
                <w:sz w:val="24"/>
                <w:szCs w:val="24"/>
                <w:u w:val="none"/>
                <w:lang w:val="en-US" w:eastAsia="zh-CN" w:bidi="ar"/>
              </w:rPr>
              <w:t>mm</w:t>
            </w: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测量杆</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用于</w:t>
            </w:r>
            <w:r>
              <w:rPr>
                <w:rFonts w:hint="default" w:ascii="微软雅黑" w:hAnsi="微软雅黑" w:eastAsia="微软雅黑" w:cs="微软雅黑"/>
                <w:i w:val="0"/>
                <w:iCs w:val="0"/>
                <w:color w:val="auto"/>
                <w:kern w:val="0"/>
                <w:sz w:val="24"/>
                <w:szCs w:val="24"/>
                <w:u w:val="none"/>
                <w:lang w:val="en-US" w:eastAsia="zh-CN" w:bidi="ar"/>
              </w:rPr>
              <w:t>骨水平锥柱状种植体，</w:t>
            </w:r>
            <w:r>
              <w:rPr>
                <w:rFonts w:hint="eastAsia" w:ascii="微软雅黑" w:hAnsi="微软雅黑" w:eastAsia="微软雅黑" w:cs="微软雅黑"/>
                <w:i w:val="0"/>
                <w:iCs w:val="0"/>
                <w:color w:val="auto"/>
                <w:kern w:val="0"/>
                <w:sz w:val="24"/>
                <w:szCs w:val="24"/>
                <w:u w:val="none"/>
                <w:lang w:val="en-US" w:eastAsia="zh-CN" w:bidi="ar"/>
              </w:rPr>
              <w:t>直径</w:t>
            </w:r>
            <w:r>
              <w:rPr>
                <w:rFonts w:hint="default" w:ascii="微软雅黑" w:hAnsi="微软雅黑" w:eastAsia="微软雅黑" w:cs="微软雅黑"/>
                <w:i w:val="0"/>
                <w:iCs w:val="0"/>
                <w:color w:val="auto"/>
                <w:kern w:val="0"/>
                <w:sz w:val="24"/>
                <w:szCs w:val="24"/>
                <w:u w:val="none"/>
                <w:lang w:val="en-US" w:eastAsia="zh-CN" w:bidi="ar"/>
              </w:rPr>
              <w:t>≥2.</w:t>
            </w:r>
            <w:r>
              <w:rPr>
                <w:rFonts w:hint="eastAsia" w:ascii="微软雅黑" w:hAnsi="微软雅黑" w:eastAsia="微软雅黑" w:cs="微软雅黑"/>
                <w:i w:val="0"/>
                <w:iCs w:val="0"/>
                <w:color w:val="auto"/>
                <w:kern w:val="0"/>
                <w:sz w:val="24"/>
                <w:szCs w:val="24"/>
                <w:u w:val="none"/>
                <w:lang w:val="en-US" w:eastAsia="zh-CN" w:bidi="ar"/>
              </w:rPr>
              <w:t>5</w:t>
            </w:r>
            <w:r>
              <w:rPr>
                <w:rFonts w:hint="default" w:ascii="微软雅黑" w:hAnsi="微软雅黑" w:eastAsia="微软雅黑" w:cs="微软雅黑"/>
                <w:i w:val="0"/>
                <w:iCs w:val="0"/>
                <w:color w:val="auto"/>
                <w:kern w:val="0"/>
                <w:sz w:val="24"/>
                <w:szCs w:val="24"/>
                <w:u w:val="none"/>
                <w:lang w:val="en-US" w:eastAsia="zh-CN" w:bidi="ar"/>
              </w:rPr>
              <w:t>mm</w:t>
            </w: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测量杆</w:t>
            </w:r>
          </w:p>
        </w:tc>
        <w:tc>
          <w:tcPr>
            <w:tcW w:w="6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用于</w:t>
            </w:r>
            <w:r>
              <w:rPr>
                <w:rFonts w:hint="default" w:ascii="微软雅黑" w:hAnsi="微软雅黑" w:eastAsia="微软雅黑" w:cs="微软雅黑"/>
                <w:i w:val="0"/>
                <w:iCs w:val="0"/>
                <w:color w:val="auto"/>
                <w:kern w:val="0"/>
                <w:sz w:val="24"/>
                <w:szCs w:val="24"/>
                <w:u w:val="none"/>
                <w:lang w:val="en-US" w:eastAsia="zh-CN" w:bidi="ar"/>
              </w:rPr>
              <w:t>骨水平锥柱状种植体，</w:t>
            </w:r>
            <w:r>
              <w:rPr>
                <w:rFonts w:hint="eastAsia" w:ascii="微软雅黑" w:hAnsi="微软雅黑" w:eastAsia="微软雅黑" w:cs="微软雅黑"/>
                <w:i w:val="0"/>
                <w:iCs w:val="0"/>
                <w:color w:val="auto"/>
                <w:kern w:val="0"/>
                <w:sz w:val="24"/>
                <w:szCs w:val="24"/>
                <w:u w:val="none"/>
                <w:lang w:val="en-US" w:eastAsia="zh-CN" w:bidi="ar"/>
              </w:rPr>
              <w:t>直径</w:t>
            </w:r>
            <w:r>
              <w:rPr>
                <w:rFonts w:hint="default" w:ascii="微软雅黑" w:hAnsi="微软雅黑" w:eastAsia="微软雅黑" w:cs="微软雅黑"/>
                <w:i w:val="0"/>
                <w:iCs w:val="0"/>
                <w:color w:val="auto"/>
                <w:kern w:val="0"/>
                <w:sz w:val="24"/>
                <w:szCs w:val="24"/>
                <w:u w:val="none"/>
                <w:lang w:val="en-US" w:eastAsia="zh-CN" w:bidi="ar"/>
              </w:rPr>
              <w:t>≥3.5mm</w:t>
            </w:r>
            <w:r>
              <w:rPr>
                <w:rFonts w:hint="eastAsia" w:ascii="微软雅黑" w:hAnsi="微软雅黑" w:eastAsia="微软雅黑" w:cs="微软雅黑"/>
                <w:i w:val="0"/>
                <w:iCs w:val="0"/>
                <w:color w:val="auto"/>
                <w:kern w:val="0"/>
                <w:sz w:val="24"/>
                <w:szCs w:val="24"/>
                <w:u w:val="none"/>
                <w:lang w:val="en-US" w:eastAsia="zh-CN" w:bidi="ar"/>
              </w:rPr>
              <w:t>。</w:t>
            </w:r>
          </w:p>
        </w:tc>
      </w:tr>
    </w:tbl>
    <w:p>
      <w:pPr>
        <w:spacing w:line="360" w:lineRule="auto"/>
        <w:rPr>
          <w:rFonts w:hint="eastAsia" w:ascii="宋体" w:hAnsi="宋体" w:eastAsia="宋体"/>
          <w:sz w:val="24"/>
          <w:szCs w:val="24"/>
          <w:highlight w:val="yellow"/>
          <w:lang w:val="en-US" w:eastAsia="zh-CN"/>
        </w:rPr>
      </w:pP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p>
    <w:p>
      <w:pPr>
        <w:spacing w:line="360" w:lineRule="auto"/>
        <w:rPr>
          <w:rFonts w:ascii="宋体" w:hAnsi="宋体" w:eastAsia="宋体" w:cs="宋体"/>
          <w:bCs/>
          <w:sz w:val="24"/>
          <w:szCs w:val="24"/>
        </w:rPr>
      </w:pPr>
    </w:p>
    <w:p>
      <w:pPr>
        <w:spacing w:line="360" w:lineRule="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zFmNzI3NGZjMjA5MjUwZTc0MTE3OWQxZDhmMjI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06ECC"/>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13A5"/>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3E34"/>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9521252"/>
    <w:rsid w:val="0A7753AE"/>
    <w:rsid w:val="0BDF2CAF"/>
    <w:rsid w:val="0BF00DA4"/>
    <w:rsid w:val="0EF02652"/>
    <w:rsid w:val="129544B2"/>
    <w:rsid w:val="13E44EDE"/>
    <w:rsid w:val="19BC5BE6"/>
    <w:rsid w:val="19C855E6"/>
    <w:rsid w:val="19DC576F"/>
    <w:rsid w:val="1A5F06D7"/>
    <w:rsid w:val="1B09545F"/>
    <w:rsid w:val="1DBC650F"/>
    <w:rsid w:val="1E4F1A12"/>
    <w:rsid w:val="206F557C"/>
    <w:rsid w:val="21CA6472"/>
    <w:rsid w:val="22AA393E"/>
    <w:rsid w:val="2428395A"/>
    <w:rsid w:val="24C25007"/>
    <w:rsid w:val="262A7ACF"/>
    <w:rsid w:val="271D349F"/>
    <w:rsid w:val="2B2963D3"/>
    <w:rsid w:val="2E095F27"/>
    <w:rsid w:val="2E287082"/>
    <w:rsid w:val="2E6E18BF"/>
    <w:rsid w:val="2E884201"/>
    <w:rsid w:val="2F2C5770"/>
    <w:rsid w:val="34EE008B"/>
    <w:rsid w:val="352B33FC"/>
    <w:rsid w:val="35805CB4"/>
    <w:rsid w:val="36CA3141"/>
    <w:rsid w:val="38593614"/>
    <w:rsid w:val="39301A51"/>
    <w:rsid w:val="399A306C"/>
    <w:rsid w:val="3BBA5F47"/>
    <w:rsid w:val="3BF15DAC"/>
    <w:rsid w:val="3DA4759C"/>
    <w:rsid w:val="3DFE745B"/>
    <w:rsid w:val="3E2B711B"/>
    <w:rsid w:val="3E2D1012"/>
    <w:rsid w:val="3ED624C7"/>
    <w:rsid w:val="3F734081"/>
    <w:rsid w:val="409018AF"/>
    <w:rsid w:val="40E94034"/>
    <w:rsid w:val="412709D8"/>
    <w:rsid w:val="41627833"/>
    <w:rsid w:val="416D419A"/>
    <w:rsid w:val="421443FB"/>
    <w:rsid w:val="427239F0"/>
    <w:rsid w:val="43426C26"/>
    <w:rsid w:val="43D72929"/>
    <w:rsid w:val="44E76487"/>
    <w:rsid w:val="4535060E"/>
    <w:rsid w:val="457ADEA5"/>
    <w:rsid w:val="45B43ACA"/>
    <w:rsid w:val="473A03ED"/>
    <w:rsid w:val="49584014"/>
    <w:rsid w:val="49B25227"/>
    <w:rsid w:val="4AFF1186"/>
    <w:rsid w:val="4B863339"/>
    <w:rsid w:val="4CEE1CF2"/>
    <w:rsid w:val="4D25098E"/>
    <w:rsid w:val="4D77632F"/>
    <w:rsid w:val="4E7C3473"/>
    <w:rsid w:val="501778F7"/>
    <w:rsid w:val="50CF0D56"/>
    <w:rsid w:val="52C021AE"/>
    <w:rsid w:val="5371335C"/>
    <w:rsid w:val="5389510F"/>
    <w:rsid w:val="56E97E3E"/>
    <w:rsid w:val="59A549DC"/>
    <w:rsid w:val="5BB838A1"/>
    <w:rsid w:val="5CF501E7"/>
    <w:rsid w:val="5E4E4400"/>
    <w:rsid w:val="5E5E67D4"/>
    <w:rsid w:val="5F9F5B4A"/>
    <w:rsid w:val="60BA47AE"/>
    <w:rsid w:val="63D92820"/>
    <w:rsid w:val="63E1229E"/>
    <w:rsid w:val="64917820"/>
    <w:rsid w:val="685F15E7"/>
    <w:rsid w:val="690540BF"/>
    <w:rsid w:val="699B0761"/>
    <w:rsid w:val="6A0856B9"/>
    <w:rsid w:val="6C146FEA"/>
    <w:rsid w:val="6CE12E64"/>
    <w:rsid w:val="6CEA0C57"/>
    <w:rsid w:val="6D024D8C"/>
    <w:rsid w:val="6ECC7A0D"/>
    <w:rsid w:val="709F0097"/>
    <w:rsid w:val="70EA395C"/>
    <w:rsid w:val="71C45194"/>
    <w:rsid w:val="71D86310"/>
    <w:rsid w:val="7397006E"/>
    <w:rsid w:val="740D6797"/>
    <w:rsid w:val="75CC49D7"/>
    <w:rsid w:val="77AC8E7B"/>
    <w:rsid w:val="77C35AEB"/>
    <w:rsid w:val="79715BD1"/>
    <w:rsid w:val="7A5944E4"/>
    <w:rsid w:val="7BF7C3E9"/>
    <w:rsid w:val="7C3A20F4"/>
    <w:rsid w:val="7CA25B04"/>
    <w:rsid w:val="7D070DE3"/>
    <w:rsid w:val="7DD03920"/>
    <w:rsid w:val="7DF33D62"/>
    <w:rsid w:val="BCFFF9DF"/>
    <w:rsid w:val="CF1D5E7A"/>
    <w:rsid w:val="E7FE5A56"/>
    <w:rsid w:val="F7FD214A"/>
    <w:rsid w:val="F9BF8DC2"/>
    <w:rsid w:val="FDBF7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p15"/>
    <w:basedOn w:val="1"/>
    <w:qFormat/>
    <w:uiPriority w:val="0"/>
    <w:pPr>
      <w:adjustRightInd w:val="0"/>
    </w:pPr>
    <w:rPr>
      <w:rFonts w:ascii="Arial Unicode MS" w:hAnsi="Arial Unicode MS" w:cs="宋体"/>
      <w:color w:val="000000"/>
      <w:szCs w:val="24"/>
    </w:rPr>
  </w:style>
  <w:style w:type="character" w:customStyle="1" w:styleId="211">
    <w:name w:val="font51"/>
    <w:basedOn w:val="33"/>
    <w:qFormat/>
    <w:uiPriority w:val="0"/>
    <w:rPr>
      <w:rFonts w:ascii="Arial" w:hAnsi="Arial" w:cs="Arial"/>
      <w:color w:val="000000"/>
      <w:sz w:val="24"/>
      <w:szCs w:val="24"/>
      <w:u w:val="none"/>
    </w:rPr>
  </w:style>
  <w:style w:type="character" w:customStyle="1" w:styleId="212">
    <w:name w:val="font41"/>
    <w:basedOn w:val="33"/>
    <w:qFormat/>
    <w:uiPriority w:val="0"/>
    <w:rPr>
      <w:rFonts w:hint="default"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1300</Words>
  <Characters>7416</Characters>
  <Lines>61</Lines>
  <Paragraphs>17</Paragraphs>
  <TotalTime>23</TotalTime>
  <ScaleCrop>false</ScaleCrop>
  <LinksUpToDate>false</LinksUpToDate>
  <CharactersWithSpaces>8699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2024-07-19T01:16:00Z</dcterms:created>
  <dc:creator>zhang jun</dc:creator>
  <cp:lastModifiedBy>045</cp:lastModifiedBy>
  <dcterms:modified xsi:type="dcterms:W3CDTF">2024-10-14T06:57:17Z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F52D24A478984F87A5CFA8D6073A2D72_13</vt:lpwstr>
  </property>
</Properties>
</file>