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包埋盒打号机等设备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07</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包件一：包埋盒打号机</w:t>
      </w:r>
    </w:p>
    <w:p>
      <w:pPr>
        <w:keepNext w:val="0"/>
        <w:keepLines w:val="0"/>
        <w:pageBreakBefore w:val="0"/>
        <w:widowControl w:val="0"/>
        <w:kinsoku/>
        <w:wordWrap/>
        <w:overflowPunct/>
        <w:topLinePunct w:val="0"/>
        <w:autoSpaceDE w:val="0"/>
        <w:autoSpaceDN w:val="0"/>
        <w:bidi w:val="0"/>
        <w:adjustRightInd/>
        <w:snapToGrid/>
        <w:spacing w:line="360" w:lineRule="auto"/>
        <w:ind w:left="957" w:leftChars="456"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包件二：切片打号机</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bidi="ar-SA"/>
        </w:rPr>
        <w:t>包件三: 取材台（带大体摄像双屏显控）</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包件四：轮转式切片机</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包件五：摊片烤片机</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包埋盒打号机等设备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包埋盒打号机等设备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包埋盒打号机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1.★打码原理：采用非接触式激光标刻技术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2.字符可靠性测试：字体耐酒精、耐二甲苯、耐HE染液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3.★配备≥6个料槽，可一次装载并连续打标600个包埋盒。弹珠定位插拔式料盒设计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4.上料装置：设置开机后归零功能，当料槽与入料口没对齐时，可在不关机的情况下，调整工位转台与旋转轴的位置，使得每个料槽准确对准入料口，保证了包埋盒取料顺畅不卡料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5.★入料装置：采用精密线性导轨支撑及同步带电机传动，传感器精确定位，使包埋盒能快速准确到达打印区。快速的挡料结构及入料和挡料工序分离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6.集料槽：集料槽可以使打标完成的包埋盒排序输出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7.★内置真空泵负压净化装置，抽吸打印粉尘，有效去除异味气体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8.★带检修门设计，方便检修和维护，外置小型吸尘器便于清理内部灰尘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9.★打码速度≥30个/分钟，编号不小于八个数字，字体高度≥5mm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10.软件兼容性：全中文界面，可标识各种中英文字、字母、符号、图形及二维码等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11.软件个性化：可根据科室现有的操作习惯定制功能，自定义格式、内容、个性功能，无需改变原有操作流程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09"/>
          <w:rFonts w:hint="eastAsia" w:ascii="宋体" w:hAnsi="宋体" w:eastAsia="宋体" w:cs="宋体"/>
          <w:sz w:val="24"/>
          <w:szCs w:val="24"/>
        </w:rPr>
      </w:pPr>
      <w:r>
        <w:rPr>
          <w:rStyle w:val="209"/>
          <w:rFonts w:hint="eastAsia" w:ascii="宋体" w:hAnsi="宋体" w:eastAsia="宋体" w:cs="宋体"/>
          <w:sz w:val="24"/>
          <w:szCs w:val="24"/>
        </w:rPr>
        <w:t>12.产品尺寸：≥350*400*450（mm）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Style w:val="209"/>
          <w:rFonts w:hint="eastAsia" w:ascii="宋体" w:hAnsi="宋体" w:eastAsia="宋体" w:cs="宋体"/>
          <w:sz w:val="24"/>
          <w:szCs w:val="24"/>
        </w:rPr>
        <w:t>13.★质保期≥3年，过保后配件成本价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切片打号机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1.★打码原理：采用非接触式激光标刻技术</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2.上料装置：采用插拔式，精密销定位料盒装置，一次性上料100片。采用精密线性导轨支撑同步带传动，引导面导向，使上料更顺畅</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3.下料装置：采用精密翻转装置，光电传感器精确定位，载玻片精准下料</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4.收集装置：从翻转装置下来的载玻片，自动落入收集盒内。收集盒为插拔式设计，可准确卡位与主机、出料口对齐。收集盒设计方便取出载玻片</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5.★开合门设计:用于上料及检修</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6.耐腐蚀性：耐二甲苯、酒精，经HE染色、特染或免疫组化染色后均不出现晕染现象，≥1秒内扫描识别</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7.打码速度：≥15个/分钟</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8.软件兼容性：全中文界面，可标识各种中英文字、字母、符号、图形及二维码等</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9.软件个性化：可根据科室现有的操作习惯定制功能，自定义格式</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10.★支架设计：配置专用支架（适配市场主流切片机）</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11.外置小型吸尘器便于清理内部玻片残渣</w:t>
      </w:r>
    </w:p>
    <w:p>
      <w:pPr>
        <w:pStyle w:val="15"/>
        <w:spacing w:line="360" w:lineRule="auto"/>
        <w:rPr>
          <w:rStyle w:val="209"/>
          <w:rFonts w:hint="eastAsia" w:ascii="宋体" w:hAnsi="宋体" w:eastAsia="宋体" w:cs="宋体"/>
          <w:sz w:val="24"/>
          <w:szCs w:val="24"/>
        </w:rPr>
      </w:pPr>
      <w:r>
        <w:rPr>
          <w:rStyle w:val="209"/>
          <w:rFonts w:hint="eastAsia" w:ascii="宋体" w:hAnsi="宋体" w:eastAsia="宋体" w:cs="宋体"/>
          <w:sz w:val="24"/>
          <w:szCs w:val="24"/>
        </w:rPr>
        <w:t>12.产品尺寸：≥205*415*395（mm）</w:t>
      </w:r>
    </w:p>
    <w:p>
      <w:pPr>
        <w:pStyle w:val="15"/>
        <w:spacing w:line="360" w:lineRule="auto"/>
        <w:rPr>
          <w:rFonts w:hint="eastAsia" w:ascii="宋体" w:hAnsi="宋体" w:eastAsia="宋体" w:cs="宋体"/>
          <w:sz w:val="24"/>
          <w:szCs w:val="24"/>
          <w:lang w:val="en-US" w:eastAsia="zh-CN"/>
        </w:rPr>
      </w:pPr>
      <w:r>
        <w:rPr>
          <w:rStyle w:val="209"/>
          <w:rFonts w:hint="eastAsia" w:ascii="宋体" w:hAnsi="宋体" w:eastAsia="宋体" w:cs="宋体"/>
          <w:sz w:val="24"/>
          <w:szCs w:val="24"/>
        </w:rPr>
        <w:t>13.★质保期≥3年，过保后配件成本价</w:t>
      </w: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bidi="ar-SA"/>
        </w:rPr>
        <w:t>取材台（带大体摄像双屏显控）</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1.规格尺寸：≥1800*1000*2000mm；或可定制</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2.设备材质：台面厚≥2mmSUS304不锈钢，其余≥1.2mmSUS304不锈钢</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3.表面处理：不锈钢整体拉丝</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4.排风系统：</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4.1 顶部预留排风风口φ250-φ315</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4.2 消音处理，噪音小于45分呗</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4.3 吸风罩腰槽孔面积（≥1050*400mm）</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4.4 吸风罩截面风速≥1米/秒</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4.5 吸风罩上方宽大的存放平台（≥1380*350mm）</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xml:space="preserve">4.6 </w:t>
      </w:r>
      <w:r>
        <w:rPr>
          <w:rFonts w:hint="eastAsia" w:ascii="宋体" w:hAnsi="宋体" w:eastAsia="宋体" w:cs="宋体"/>
          <w:bCs/>
          <w:color w:val="000000"/>
          <w:kern w:val="0"/>
          <w:sz w:val="24"/>
          <w:szCs w:val="24"/>
        </w:rPr>
        <w:t>★</w:t>
      </w:r>
      <w:r>
        <w:rPr>
          <w:rFonts w:hint="eastAsia" w:ascii="宋体" w:hAnsi="宋体" w:eastAsia="宋体" w:cs="宋体"/>
          <w:b w:val="0"/>
          <w:bCs/>
          <w:color w:val="000000"/>
          <w:kern w:val="0"/>
          <w:sz w:val="24"/>
          <w:szCs w:val="24"/>
        </w:rPr>
        <w:t>带离子新风导入接口及新风散流装置</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4.7 可导入净化系统新风</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xml:space="preserve">5.照明系统： </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5.1 嵌入式LED灯照明,18W光源,2只</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5.2 嵌入式紫外线杀菌，6W光源</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5.3 LED暖光源聚光射灯,5W光源</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6.水路系统：</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6.1 具有冷热水拉伸龙头</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6.2 具有电加热热水器</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6.3 具有脚踏控制龙头，水量无极可调，12V安全电压控制</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6.4 具有台面喷淋装置，电控，水量无极可调</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6.5 具有管道粉碎机，强制排水</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6.6 水池尺寸：≥310×270×120mm，底部四周圆弧，无死角</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6.7 取台面斜度≥8°，四周圆弧，无死角</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7.控制系统：</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7.1</w:t>
      </w:r>
      <w:r>
        <w:rPr>
          <w:rFonts w:hint="eastAsia" w:ascii="宋体" w:hAnsi="宋体" w:eastAsia="宋体" w:cs="宋体"/>
          <w:b w:val="0"/>
          <w:bCs/>
          <w:color w:val="000000"/>
          <w:kern w:val="0"/>
          <w:sz w:val="24"/>
          <w:szCs w:val="24"/>
          <w:lang w:val="en-US" w:eastAsia="zh-CN"/>
        </w:rPr>
        <w:t xml:space="preserve"> </w:t>
      </w:r>
      <w:r>
        <w:rPr>
          <w:rFonts w:hint="eastAsia" w:ascii="宋体" w:hAnsi="宋体" w:eastAsia="宋体" w:cs="宋体"/>
          <w:bCs/>
          <w:color w:val="000000"/>
          <w:kern w:val="0"/>
          <w:sz w:val="24"/>
          <w:szCs w:val="24"/>
        </w:rPr>
        <w:t>★</w:t>
      </w:r>
      <w:r>
        <w:rPr>
          <w:rFonts w:hint="eastAsia" w:ascii="宋体" w:hAnsi="宋体" w:eastAsia="宋体" w:cs="宋体"/>
          <w:b w:val="0"/>
          <w:bCs/>
          <w:color w:val="000000"/>
          <w:kern w:val="0"/>
          <w:sz w:val="24"/>
          <w:szCs w:val="24"/>
        </w:rPr>
        <w:t>≥7寸液晶触摸显示控制</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7.2</w:t>
      </w:r>
      <w:r>
        <w:rPr>
          <w:rFonts w:hint="eastAsia" w:ascii="宋体" w:hAnsi="宋体" w:eastAsia="宋体" w:cs="宋体"/>
          <w:b w:val="0"/>
          <w:bCs/>
          <w:color w:val="000000"/>
          <w:kern w:val="0"/>
          <w:sz w:val="24"/>
          <w:szCs w:val="24"/>
          <w:lang w:val="en-US" w:eastAsia="zh-CN"/>
        </w:rPr>
        <w:t xml:space="preserve"> </w:t>
      </w:r>
      <w:r>
        <w:rPr>
          <w:rFonts w:hint="eastAsia" w:ascii="宋体" w:hAnsi="宋体" w:eastAsia="宋体" w:cs="宋体"/>
          <w:b w:val="0"/>
          <w:bCs/>
          <w:color w:val="000000"/>
          <w:kern w:val="0"/>
          <w:sz w:val="24"/>
          <w:szCs w:val="24"/>
        </w:rPr>
        <w:t>12v安全电压脚踏开关控制水槽龙头</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7.3 水槽龙头及台面喷淋电磁阀控制</w:t>
      </w:r>
    </w:p>
    <w:p>
      <w:pPr>
        <w:spacing w:line="360" w:lineRule="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7.4 防水电源插座</w:t>
      </w:r>
    </w:p>
    <w:p>
      <w:pPr>
        <w:numPr>
          <w:ilvl w:val="0"/>
          <w:numId w:val="0"/>
        </w:numPr>
        <w:spacing w:line="360" w:lineRule="auto"/>
        <w:ind w:leftChars="0"/>
        <w:rPr>
          <w:rFonts w:hint="eastAsia" w:ascii="宋体" w:hAnsi="宋体" w:eastAsia="宋体" w:cs="宋体"/>
          <w:bCs/>
          <w:color w:val="000000"/>
          <w:kern w:val="0"/>
          <w:sz w:val="24"/>
          <w:szCs w:val="24"/>
        </w:rPr>
      </w:pPr>
      <w:r>
        <w:rPr>
          <w:rFonts w:hint="eastAsia" w:ascii="宋体" w:hAnsi="宋体" w:eastAsia="宋体" w:cs="宋体"/>
          <w:b w:val="0"/>
          <w:bCs/>
          <w:color w:val="000000"/>
          <w:kern w:val="0"/>
          <w:sz w:val="24"/>
          <w:szCs w:val="24"/>
        </w:rPr>
        <w:t>8.</w:t>
      </w:r>
      <w:r>
        <w:rPr>
          <w:rFonts w:hint="eastAsia" w:ascii="宋体" w:hAnsi="宋体" w:eastAsia="宋体" w:cs="宋体"/>
          <w:bCs/>
          <w:color w:val="000000"/>
          <w:kern w:val="0"/>
          <w:sz w:val="24"/>
          <w:szCs w:val="24"/>
        </w:rPr>
        <w:t>★</w:t>
      </w:r>
      <w:r>
        <w:rPr>
          <w:rFonts w:hint="eastAsia" w:ascii="宋体" w:hAnsi="宋体" w:eastAsia="宋体" w:cs="宋体"/>
          <w:b w:val="0"/>
          <w:bCs/>
          <w:color w:val="000000"/>
          <w:kern w:val="0"/>
          <w:sz w:val="24"/>
          <w:szCs w:val="24"/>
        </w:rPr>
        <w:t>带大体标本拍摄系统和双屏显控、带紧急洗眼器</w:t>
      </w:r>
    </w:p>
    <w:p>
      <w:pPr>
        <w:numPr>
          <w:ilvl w:val="0"/>
          <w:numId w:val="0"/>
        </w:numPr>
        <w:spacing w:line="360" w:lineRule="auto"/>
        <w:ind w:leftChars="0"/>
        <w:rPr>
          <w:rFonts w:hint="eastAsia" w:ascii="宋体" w:hAnsi="宋体" w:eastAsia="宋体" w:cs="宋体"/>
          <w:b/>
          <w:bCs/>
          <w:sz w:val="24"/>
          <w:szCs w:val="24"/>
        </w:rPr>
      </w:pPr>
      <w:r>
        <w:rPr>
          <w:rFonts w:hint="eastAsia" w:ascii="宋体" w:hAnsi="宋体" w:eastAsia="宋体" w:cs="宋体"/>
          <w:bCs/>
          <w:color w:val="000000"/>
          <w:kern w:val="0"/>
          <w:sz w:val="24"/>
          <w:szCs w:val="24"/>
        </w:rPr>
        <w:t>9.★质保期≥3年，过保后配件成本价</w:t>
      </w:r>
    </w:p>
    <w:p>
      <w:pPr>
        <w:numPr>
          <w:ilvl w:val="0"/>
          <w:numId w:val="0"/>
        </w:numPr>
        <w:spacing w:line="360" w:lineRule="auto"/>
        <w:ind w:leftChars="0"/>
        <w:rPr>
          <w:rFonts w:ascii="宋体" w:hAnsi="宋体" w:eastAsia="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bidi="ar-SA"/>
        </w:rPr>
        <w:t>轮转式切片机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6"/>
        </w:numPr>
        <w:spacing w:line="360" w:lineRule="auto"/>
        <w:ind w:left="-420" w:leftChars="0" w:firstLine="420" w:firstLineChars="0"/>
        <w:rPr>
          <w:rFonts w:ascii="宋体" w:hAnsi="宋体" w:eastAsia="宋体"/>
          <w:b/>
          <w:bCs/>
          <w:sz w:val="24"/>
          <w:szCs w:val="24"/>
        </w:rPr>
      </w:pPr>
      <w:r>
        <w:rPr>
          <w:rFonts w:hint="eastAsia" w:ascii="宋体" w:hAnsi="宋体" w:eastAsia="宋体"/>
          <w:b w:val="0"/>
          <w:bCs w:val="0"/>
          <w:sz w:val="24"/>
          <w:szCs w:val="24"/>
        </w:rPr>
        <w:t>技术指标要求：</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切片厚度：1～60μm</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修块模式</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2种，修块厚度10µm～30µm</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手动切片模式</w:t>
      </w:r>
      <w:r>
        <w:rPr>
          <w:rFonts w:hint="eastAsia" w:ascii="宋体" w:hAnsi="宋体" w:eastAsia="宋体" w:cs="宋体"/>
          <w:bCs/>
          <w:color w:val="000000"/>
          <w:kern w:val="0"/>
          <w:sz w:val="24"/>
          <w:szCs w:val="24"/>
          <w:lang w:val="en-US" w:eastAsia="zh-CN"/>
        </w:rPr>
        <w:t>≥</w:t>
      </w:r>
      <w:r>
        <w:rPr>
          <w:rFonts w:hint="eastAsia" w:ascii="宋体" w:hAnsi="宋体" w:eastAsia="宋体" w:cs="宋体"/>
          <w:bCs/>
          <w:color w:val="000000"/>
          <w:kern w:val="0"/>
          <w:sz w:val="24"/>
          <w:szCs w:val="24"/>
        </w:rPr>
        <w:t>2种，</w:t>
      </w:r>
      <w:r>
        <w:rPr>
          <w:rFonts w:hint="eastAsia" w:ascii="宋体" w:hAnsi="宋体" w:eastAsia="宋体" w:cs="宋体"/>
          <w:bCs/>
          <w:color w:val="000000"/>
          <w:kern w:val="0"/>
          <w:sz w:val="24"/>
          <w:szCs w:val="24"/>
          <w:lang w:val="en-US" w:eastAsia="zh-CN"/>
        </w:rPr>
        <w:t>至少具有</w:t>
      </w:r>
      <w:r>
        <w:rPr>
          <w:rFonts w:hint="eastAsia" w:ascii="宋体" w:hAnsi="宋体" w:eastAsia="宋体" w:cs="宋体"/>
          <w:bCs/>
          <w:color w:val="000000"/>
          <w:kern w:val="0"/>
          <w:sz w:val="24"/>
          <w:szCs w:val="24"/>
        </w:rPr>
        <w:t>半刀模式和全手轮旋转模式</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水平进样幅度：24±</w:t>
      </w:r>
      <w:r>
        <w:rPr>
          <w:rFonts w:hint="eastAsia" w:ascii="宋体" w:hAnsi="宋体" w:eastAsia="宋体" w:cs="宋体"/>
          <w:bCs/>
          <w:color w:val="000000"/>
          <w:kern w:val="0"/>
          <w:sz w:val="24"/>
          <w:szCs w:val="24"/>
          <w:lang w:val="en-US" w:eastAsia="zh-CN"/>
        </w:rPr>
        <w:t>2mm</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垂直样品行程：70±</w:t>
      </w:r>
      <w:r>
        <w:rPr>
          <w:rFonts w:hint="eastAsia" w:ascii="宋体" w:hAnsi="宋体" w:eastAsia="宋体" w:cs="宋体"/>
          <w:bCs/>
          <w:color w:val="000000"/>
          <w:kern w:val="0"/>
          <w:sz w:val="24"/>
          <w:szCs w:val="24"/>
          <w:lang w:val="en-US" w:eastAsia="zh-CN"/>
        </w:rPr>
        <w:t>1mm</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静音样品回缩：</w:t>
      </w:r>
      <w:r>
        <w:rPr>
          <w:rFonts w:hint="eastAsia" w:ascii="宋体" w:hAnsi="宋体" w:eastAsia="宋体" w:cs="宋体"/>
          <w:bCs/>
          <w:color w:val="000000"/>
          <w:kern w:val="0"/>
          <w:sz w:val="24"/>
          <w:szCs w:val="24"/>
          <w:lang w:eastAsia="zh-CN"/>
        </w:rPr>
        <w:t>约</w:t>
      </w:r>
      <w:r>
        <w:rPr>
          <w:rFonts w:hint="eastAsia" w:ascii="宋体" w:hAnsi="宋体" w:eastAsia="宋体" w:cs="宋体"/>
          <w:bCs/>
          <w:color w:val="000000"/>
          <w:kern w:val="0"/>
          <w:sz w:val="24"/>
          <w:szCs w:val="24"/>
        </w:rPr>
        <w:t>40μm</w:t>
      </w:r>
      <w:r>
        <w:rPr>
          <w:rFonts w:hint="eastAsia" w:ascii="宋体" w:hAnsi="宋体" w:eastAsia="宋体" w:cs="宋体"/>
          <w:bCs/>
          <w:color w:val="000000"/>
          <w:kern w:val="0"/>
          <w:sz w:val="24"/>
          <w:szCs w:val="24"/>
          <w:lang w:eastAsia="zh-CN"/>
        </w:rPr>
        <w:t>。可关闭</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最大样品尺寸（L×H×W）：55×50×30mm</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★手轮为弹簧原理平衡系统</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val="en-US" w:eastAsia="zh-CN"/>
        </w:rPr>
        <w:t>具</w:t>
      </w:r>
      <w:r>
        <w:rPr>
          <w:rFonts w:hint="eastAsia" w:ascii="宋体" w:hAnsi="宋体" w:eastAsia="宋体" w:cs="宋体"/>
          <w:bCs/>
          <w:color w:val="000000"/>
          <w:kern w:val="0"/>
          <w:sz w:val="24"/>
          <w:szCs w:val="24"/>
        </w:rPr>
        <w:t>个性化的小手轮，可自定义顺时针及逆时针转动方向</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带0位的样本定位系统，可X/Y轴调节，8度水平定位样本</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★废屑槽可拆卸，具有抗静电功能和磁力吸附功能</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具备储物盘功能</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具备刀架三点锁定及侧向移动功能，可充分利用刀片全长</w:t>
      </w:r>
    </w:p>
    <w:p>
      <w:pPr>
        <w:numPr>
          <w:ilvl w:val="0"/>
          <w:numId w:val="7"/>
        </w:numPr>
        <w:snapToGrid w:val="0"/>
        <w:spacing w:line="360" w:lineRule="auto"/>
        <w:ind w:left="425" w:leftChars="0" w:hanging="425"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手轮有</w:t>
      </w:r>
      <w:r>
        <w:rPr>
          <w:rFonts w:hint="eastAsia" w:ascii="宋体" w:hAnsi="宋体" w:eastAsia="宋体" w:cs="宋体"/>
          <w:sz w:val="24"/>
          <w:szCs w:val="24"/>
          <w:lang w:val="en-US" w:eastAsia="zh-CN"/>
        </w:rPr>
        <w:t>≥</w:t>
      </w:r>
      <w:r>
        <w:rPr>
          <w:rFonts w:hint="eastAsia" w:ascii="宋体" w:hAnsi="宋体" w:eastAsia="宋体" w:cs="宋体"/>
          <w:bCs/>
          <w:color w:val="000000"/>
          <w:kern w:val="0"/>
          <w:sz w:val="24"/>
          <w:szCs w:val="24"/>
        </w:rPr>
        <w:t>2个独立的安全锁定系统</w:t>
      </w:r>
    </w:p>
    <w:p>
      <w:pPr>
        <w:numPr>
          <w:ilvl w:val="0"/>
          <w:numId w:val="7"/>
        </w:numPr>
        <w:snapToGrid w:val="0"/>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kern w:val="0"/>
          <w:sz w:val="24"/>
          <w:szCs w:val="24"/>
        </w:rPr>
        <w:t>快速转换</w:t>
      </w:r>
      <w:r>
        <w:rPr>
          <w:rFonts w:hint="eastAsia" w:ascii="宋体" w:hAnsi="宋体" w:eastAsia="宋体" w:cs="宋体"/>
          <w:sz w:val="24"/>
          <w:szCs w:val="24"/>
        </w:rPr>
        <w:t>样本夹，可单手操作</w:t>
      </w:r>
    </w:p>
    <w:p>
      <w:pPr>
        <w:numPr>
          <w:ilvl w:val="0"/>
          <w:numId w:val="7"/>
        </w:numPr>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lang w:val="en-US" w:eastAsia="zh-CN"/>
        </w:rPr>
        <w:t>全保≥3年，过保后配件≤7.5折</w:t>
      </w: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摊片烤片机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bookmarkStart w:id="18" w:name="_GoBack"/>
      <w:bookmarkEnd w:id="18"/>
      <w:r>
        <w:rPr>
          <w:rFonts w:hint="eastAsia" w:ascii="宋体" w:hAnsi="宋体" w:eastAsia="宋体" w:cs="宋体"/>
          <w:b w:val="0"/>
          <w:bCs w:val="0"/>
          <w:sz w:val="24"/>
          <w:szCs w:val="24"/>
        </w:rPr>
        <w:t>个月内买方支付货款的100%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8"/>
        </w:numPr>
        <w:spacing w:line="360" w:lineRule="auto"/>
        <w:ind w:left="-420" w:leftChars="0" w:firstLine="420" w:firstLineChars="0"/>
        <w:jc w:val="both"/>
        <w:rPr>
          <w:rFonts w:hint="eastAsia"/>
          <w:sz w:val="28"/>
          <w:szCs w:val="28"/>
        </w:rPr>
      </w:pPr>
      <w:r>
        <w:rPr>
          <w:rFonts w:hint="eastAsia" w:ascii="宋体" w:hAnsi="宋体" w:eastAsia="宋体"/>
          <w:b w:val="0"/>
          <w:bCs w:val="0"/>
          <w:sz w:val="24"/>
          <w:szCs w:val="24"/>
        </w:rPr>
        <w:t>技术指标要求</w:t>
      </w:r>
    </w:p>
    <w:p>
      <w:pPr>
        <w:numPr>
          <w:ilvl w:val="0"/>
          <w:numId w:val="9"/>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烘片箱可容纳≥3个常规染色架</w:t>
      </w:r>
    </w:p>
    <w:p>
      <w:pPr>
        <w:numPr>
          <w:ilvl w:val="0"/>
          <w:numId w:val="9"/>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烤片槽实际排列玻片≥60片，烤片槽间温度均匀无温差</w:t>
      </w:r>
    </w:p>
    <w:p>
      <w:pPr>
        <w:numPr>
          <w:ilvl w:val="0"/>
          <w:numId w:val="9"/>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LED数码显示屏,轻触键盘</w:t>
      </w:r>
    </w:p>
    <w:p>
      <w:pPr>
        <w:numPr>
          <w:ilvl w:val="0"/>
          <w:numId w:val="9"/>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智能PID温控技术</w:t>
      </w:r>
    </w:p>
    <w:p>
      <w:pPr>
        <w:numPr>
          <w:ilvl w:val="0"/>
          <w:numId w:val="9"/>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工作程序剩余时间提醒功能</w:t>
      </w:r>
    </w:p>
    <w:p>
      <w:pPr>
        <w:numPr>
          <w:ilvl w:val="0"/>
          <w:numId w:val="9"/>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分体式漂缸</w:t>
      </w:r>
    </w:p>
    <w:p>
      <w:pPr>
        <w:numPr>
          <w:ilvl w:val="0"/>
          <w:numId w:val="9"/>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定时开机功能</w:t>
      </w:r>
    </w:p>
    <w:p>
      <w:pPr>
        <w:numPr>
          <w:ilvl w:val="0"/>
          <w:numId w:val="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功率：≤500W</w:t>
      </w:r>
    </w:p>
    <w:p>
      <w:pPr>
        <w:numPr>
          <w:ilvl w:val="0"/>
          <w:numId w:val="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温度设置及可控范围：室温～99℃±1℃</w:t>
      </w:r>
    </w:p>
    <w:p>
      <w:pPr>
        <w:pStyle w:val="15"/>
        <w:numPr>
          <w:ilvl w:val="0"/>
          <w:numId w:val="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★质保期≥3年，</w:t>
      </w:r>
      <w:r>
        <w:rPr>
          <w:rFonts w:hint="eastAsia" w:ascii="宋体" w:hAnsi="宋体" w:eastAsia="宋体" w:cs="宋体"/>
          <w:sz w:val="24"/>
          <w:szCs w:val="24"/>
          <w:lang w:val="en-US" w:eastAsia="zh-CN"/>
        </w:rPr>
        <w:t>过保后配件成本价</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pStyle w:val="15"/>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676F8"/>
    <w:multiLevelType w:val="singleLevel"/>
    <w:tmpl w:val="89B676F8"/>
    <w:lvl w:ilvl="0" w:tentative="0">
      <w:start w:val="1"/>
      <w:numFmt w:val="chineseCounting"/>
      <w:suff w:val="nothing"/>
      <w:lvlText w:val="%1、"/>
      <w:lvlJc w:val="left"/>
      <w:pPr>
        <w:ind w:left="-420" w:firstLine="420"/>
      </w:pPr>
      <w:rPr>
        <w:rFonts w:hint="eastAsia"/>
        <w:b w:val="0"/>
        <w:bCs w:val="0"/>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29A861C"/>
    <w:multiLevelType w:val="singleLevel"/>
    <w:tmpl w:val="B29A861C"/>
    <w:lvl w:ilvl="0" w:tentative="0">
      <w:start w:val="1"/>
      <w:numFmt w:val="chineseCounting"/>
      <w:suff w:val="nothing"/>
      <w:lvlText w:val="%1、"/>
      <w:lvlJc w:val="left"/>
      <w:pPr>
        <w:ind w:left="-420" w:firstLine="420"/>
      </w:pPr>
      <w:rPr>
        <w:rFonts w:hint="eastAsia"/>
        <w:b w:val="0"/>
        <w:bCs w:val="0"/>
      </w:rPr>
    </w:lvl>
  </w:abstractNum>
  <w:abstractNum w:abstractNumId="3">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4">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5">
    <w:nsid w:val="53DE73A8"/>
    <w:multiLevelType w:val="singleLevel"/>
    <w:tmpl w:val="53DE73A8"/>
    <w:lvl w:ilvl="0" w:tentative="0">
      <w:start w:val="1"/>
      <w:numFmt w:val="decimal"/>
      <w:lvlText w:val="%1."/>
      <w:lvlJc w:val="left"/>
      <w:pPr>
        <w:ind w:left="425" w:hanging="425"/>
      </w:pPr>
      <w:rPr>
        <w:rFonts w:hint="default"/>
      </w:rPr>
    </w:lvl>
  </w:abstractNum>
  <w:abstractNum w:abstractNumId="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6476F0B7"/>
    <w:multiLevelType w:val="singleLevel"/>
    <w:tmpl w:val="6476F0B7"/>
    <w:lvl w:ilvl="0" w:tentative="0">
      <w:start w:val="1"/>
      <w:numFmt w:val="decimal"/>
      <w:lvlText w:val="%1."/>
      <w:lvlJc w:val="left"/>
      <w:pPr>
        <w:ind w:left="425" w:hanging="425"/>
      </w:pPr>
      <w:rPr>
        <w:rFonts w:hint="default"/>
      </w:rPr>
    </w:lvl>
  </w:abstractNum>
  <w:abstractNum w:abstractNumId="8">
    <w:nsid w:val="782115CA"/>
    <w:multiLevelType w:val="singleLevel"/>
    <w:tmpl w:val="782115CA"/>
    <w:lvl w:ilvl="0" w:tentative="0">
      <w:start w:val="1"/>
      <w:numFmt w:val="chineseCounting"/>
      <w:suff w:val="nothing"/>
      <w:lvlText w:val="%1、"/>
      <w:lvlJc w:val="left"/>
      <w:pPr>
        <w:ind w:left="-420" w:firstLine="420"/>
      </w:pPr>
      <w:rPr>
        <w:rFonts w:hint="eastAsia"/>
      </w:rPr>
    </w:lvl>
  </w:abstractNum>
  <w:num w:numId="1">
    <w:abstractNumId w:val="6"/>
  </w:num>
  <w:num w:numId="2">
    <w:abstractNumId w:val="1"/>
  </w:num>
  <w:num w:numId="3">
    <w:abstractNumId w:val="8"/>
  </w:num>
  <w:num w:numId="4">
    <w:abstractNumId w:val="3"/>
  </w:num>
  <w:num w:numId="5">
    <w:abstractNumId w:val="4"/>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9BC5BE6"/>
    <w:rsid w:val="19DC576F"/>
    <w:rsid w:val="1A5F06D7"/>
    <w:rsid w:val="1B09545F"/>
    <w:rsid w:val="1DBC650F"/>
    <w:rsid w:val="1E4F1A12"/>
    <w:rsid w:val="206F557C"/>
    <w:rsid w:val="21CA6472"/>
    <w:rsid w:val="22AA393E"/>
    <w:rsid w:val="24C25007"/>
    <w:rsid w:val="262A7ACF"/>
    <w:rsid w:val="271D349F"/>
    <w:rsid w:val="2B2963D3"/>
    <w:rsid w:val="2E095F27"/>
    <w:rsid w:val="2E287082"/>
    <w:rsid w:val="2E6E18BF"/>
    <w:rsid w:val="2E884201"/>
    <w:rsid w:val="2F2C5770"/>
    <w:rsid w:val="34EE008B"/>
    <w:rsid w:val="352B33FC"/>
    <w:rsid w:val="35805CB4"/>
    <w:rsid w:val="36CA3141"/>
    <w:rsid w:val="38593614"/>
    <w:rsid w:val="39301A51"/>
    <w:rsid w:val="3BF15DAC"/>
    <w:rsid w:val="3DA4759C"/>
    <w:rsid w:val="3DFE745B"/>
    <w:rsid w:val="3E2B711B"/>
    <w:rsid w:val="3E2D1012"/>
    <w:rsid w:val="409018AF"/>
    <w:rsid w:val="40E94034"/>
    <w:rsid w:val="412709D8"/>
    <w:rsid w:val="41627833"/>
    <w:rsid w:val="416D419A"/>
    <w:rsid w:val="421443FB"/>
    <w:rsid w:val="427239F0"/>
    <w:rsid w:val="43426C26"/>
    <w:rsid w:val="44E76487"/>
    <w:rsid w:val="4535060E"/>
    <w:rsid w:val="473A03ED"/>
    <w:rsid w:val="49B25227"/>
    <w:rsid w:val="4B863339"/>
    <w:rsid w:val="4CEE1CF2"/>
    <w:rsid w:val="4D25098E"/>
    <w:rsid w:val="4D77632F"/>
    <w:rsid w:val="4E7C3473"/>
    <w:rsid w:val="501778F7"/>
    <w:rsid w:val="52C021AE"/>
    <w:rsid w:val="5371335C"/>
    <w:rsid w:val="5389510F"/>
    <w:rsid w:val="56E97E3E"/>
    <w:rsid w:val="59A549DC"/>
    <w:rsid w:val="5BB838A1"/>
    <w:rsid w:val="5CF501E7"/>
    <w:rsid w:val="5E4E4400"/>
    <w:rsid w:val="5E5E67D4"/>
    <w:rsid w:val="60BA47AE"/>
    <w:rsid w:val="63D92820"/>
    <w:rsid w:val="64917820"/>
    <w:rsid w:val="685F15E7"/>
    <w:rsid w:val="690540BF"/>
    <w:rsid w:val="6A0856B9"/>
    <w:rsid w:val="6C146FEA"/>
    <w:rsid w:val="6CE12E64"/>
    <w:rsid w:val="6CEA0C57"/>
    <w:rsid w:val="6D024D8C"/>
    <w:rsid w:val="6ECC7A0D"/>
    <w:rsid w:val="70EA395C"/>
    <w:rsid w:val="71C45194"/>
    <w:rsid w:val="7397006E"/>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9199</Characters>
  <Lines>12</Lines>
  <Paragraphs>17</Paragraphs>
  <TotalTime>17</TotalTime>
  <ScaleCrop>false</ScaleCrop>
  <LinksUpToDate>false</LinksUpToDate>
  <CharactersWithSpaces>9344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2023-06-07T04:32:03Z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