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结肠水疗仪</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28</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包一：结肠水疗仪</w:t>
      </w:r>
    </w:p>
    <w:p>
      <w:pPr>
        <w:pStyle w:val="33"/>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rPr>
        <w:t>包二：</w:t>
      </w:r>
      <w:r>
        <w:rPr>
          <w:rFonts w:hint="eastAsia" w:ascii="宋体" w:hAnsi="宋体" w:eastAsia="宋体" w:cs="Times New Roman"/>
          <w:bCs/>
          <w:sz w:val="24"/>
          <w:szCs w:val="24"/>
          <w:highlight w:val="none"/>
          <w:lang w:val="en-US" w:eastAsia="zh-CN"/>
        </w:rPr>
        <w:t>普通倒置显微镜</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84"/>
      <w:bookmarkStart w:id="7" w:name="_Toc461613012"/>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28</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40"/>
          <w:rFonts w:ascii="Times New Roman" w:hAnsi="Times New Roman" w:eastAsia="宋体"/>
          <w:sz w:val="24"/>
          <w:szCs w:val="24"/>
          <w:highlight w:val="none"/>
        </w:rPr>
        <w:t>https</w:t>
      </w:r>
      <w:r>
        <w:rPr>
          <w:rStyle w:val="40"/>
          <w:rFonts w:ascii="宋体" w:hAnsi="宋体" w:eastAsia="宋体"/>
          <w:sz w:val="24"/>
          <w:szCs w:val="24"/>
          <w:highlight w:val="none"/>
        </w:rPr>
        <w:t>://</w:t>
      </w:r>
      <w:r>
        <w:rPr>
          <w:rStyle w:val="40"/>
          <w:rFonts w:ascii="Times New Roman" w:hAnsi="Times New Roman" w:eastAsia="宋体"/>
          <w:sz w:val="24"/>
          <w:szCs w:val="24"/>
          <w:highlight w:val="none"/>
        </w:rPr>
        <w:t>www</w:t>
      </w:r>
      <w:r>
        <w:rPr>
          <w:rStyle w:val="40"/>
          <w:rFonts w:ascii="宋体" w:hAnsi="宋体" w:eastAsia="宋体"/>
          <w:sz w:val="24"/>
          <w:szCs w:val="24"/>
          <w:highlight w:val="none"/>
        </w:rPr>
        <w:t>.</w:t>
      </w:r>
      <w:r>
        <w:rPr>
          <w:rStyle w:val="40"/>
          <w:rFonts w:ascii="Times New Roman" w:hAnsi="Times New Roman" w:eastAsia="宋体"/>
          <w:sz w:val="24"/>
          <w:szCs w:val="24"/>
          <w:highlight w:val="none"/>
        </w:rPr>
        <w:t>szy</w:t>
      </w:r>
      <w:r>
        <w:rPr>
          <w:rStyle w:val="40"/>
          <w:rFonts w:ascii="宋体" w:hAnsi="宋体" w:eastAsia="宋体"/>
          <w:sz w:val="24"/>
          <w:szCs w:val="24"/>
          <w:highlight w:val="none"/>
        </w:rPr>
        <w:t>.</w:t>
      </w:r>
      <w:r>
        <w:rPr>
          <w:rStyle w:val="40"/>
          <w:rFonts w:ascii="Times New Roman" w:hAnsi="Times New Roman" w:eastAsia="宋体"/>
          <w:sz w:val="24"/>
          <w:szCs w:val="24"/>
          <w:highlight w:val="none"/>
        </w:rPr>
        <w:t>sh</w:t>
      </w:r>
      <w:r>
        <w:rPr>
          <w:rStyle w:val="40"/>
          <w:rFonts w:ascii="宋体" w:hAnsi="宋体" w:eastAsia="宋体"/>
          <w:sz w:val="24"/>
          <w:szCs w:val="24"/>
          <w:highlight w:val="none"/>
        </w:rPr>
        <w:t>.</w:t>
      </w:r>
      <w:r>
        <w:rPr>
          <w:rStyle w:val="40"/>
          <w:rFonts w:ascii="Times New Roman" w:hAnsi="Times New Roman" w:eastAsia="宋体"/>
          <w:sz w:val="24"/>
          <w:szCs w:val="24"/>
          <w:highlight w:val="none"/>
        </w:rPr>
        <w:t>cn</w:t>
      </w:r>
      <w:r>
        <w:rPr>
          <w:rStyle w:val="40"/>
          <w:rFonts w:ascii="宋体" w:hAnsi="宋体" w:eastAsia="宋体"/>
          <w:sz w:val="24"/>
          <w:szCs w:val="24"/>
          <w:highlight w:val="none"/>
        </w:rPr>
        <w:t>/</w:t>
      </w:r>
      <w:r>
        <w:rPr>
          <w:rStyle w:val="40"/>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8</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30</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31</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w:t>
      </w:r>
      <w:r>
        <w:rPr>
          <w:rFonts w:hint="eastAsia" w:ascii="宋体" w:hAnsi="宋体" w:eastAsia="宋体" w:cs="Times New Roman"/>
          <w:sz w:val="24"/>
          <w:szCs w:val="24"/>
        </w:rPr>
        <w:t>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11326093"/>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结肠水疗仪</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lang w:val="en-US" w:eastAsia="zh-CN"/>
              </w:rPr>
              <w:t>结肠水疗仪</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31</w:t>
            </w:r>
            <w:bookmarkStart w:id="18" w:name="_GoBack"/>
            <w:bookmarkEnd w:id="18"/>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4"/>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pStyle w:val="57"/>
        <w:spacing w:line="360" w:lineRule="auto"/>
        <w:ind w:left="-420" w:firstLineChars="0"/>
        <w:rPr>
          <w:rFonts w:ascii="宋体" w:hAnsi="宋体" w:eastAsia="宋体"/>
          <w:sz w:val="24"/>
          <w:szCs w:val="24"/>
        </w:rPr>
      </w:pPr>
      <w:bookmarkStart w:id="15" w:name="_Toc11326096"/>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结肠水疗仪/</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w:t>
      </w:r>
      <w:r>
        <w:rPr>
          <w:rFonts w:hint="eastAsia" w:ascii="宋体" w:hAnsi="宋体" w:eastAsia="宋体" w:cs="Times New Roman"/>
          <w:bCs/>
          <w:sz w:val="24"/>
          <w:szCs w:val="24"/>
          <w:lang w:val="en-US" w:eastAsia="zh-CN"/>
        </w:rPr>
        <w:t>急诊抢救室、EICU</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1</w:t>
            </w:r>
          </w:p>
        </w:tc>
        <w:tc>
          <w:tcPr>
            <w:tcW w:w="3244"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脾胃病科</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pStyle w:val="30"/>
        <w:widowControl/>
        <w:numPr>
          <w:ilvl w:val="0"/>
          <w:numId w:val="3"/>
        </w:numPr>
        <w:shd w:val="clear" w:color="auto" w:fill="FFFFFF"/>
        <w:adjustRightInd w:val="0"/>
        <w:snapToGrid w:val="0"/>
        <w:spacing w:before="0" w:beforeAutospacing="0" w:after="0" w:afterAutospacing="0" w:line="315" w:lineRule="atLeast"/>
        <w:ind w:left="0" w:leftChars="0" w:firstLine="0" w:firstLineChars="0"/>
        <w:rPr>
          <w:rFonts w:hint="eastAsia" w:ascii="宋体" w:hAnsi="宋体" w:eastAsia="宋体"/>
          <w:szCs w:val="24"/>
        </w:rPr>
      </w:pPr>
      <w:r>
        <w:rPr>
          <w:rFonts w:hint="eastAsia" w:ascii="宋体" w:hAnsi="宋体" w:eastAsia="宋体"/>
          <w:b w:val="0"/>
          <w:bCs/>
          <w:szCs w:val="24"/>
        </w:rPr>
        <w:t>技术</w:t>
      </w:r>
      <w:r>
        <w:rPr>
          <w:rFonts w:hint="eastAsia" w:ascii="宋体" w:hAnsi="宋体" w:eastAsia="宋体"/>
          <w:szCs w:val="24"/>
        </w:rPr>
        <w:t>指标要求：</w:t>
      </w:r>
    </w:p>
    <w:p>
      <w:pPr>
        <w:pStyle w:val="30"/>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p>
    <w:tbl>
      <w:tblPr>
        <w:tblStyle w:val="34"/>
        <w:tblW w:w="8630" w:type="dxa"/>
        <w:tblInd w:w="113" w:type="dxa"/>
        <w:tblLayout w:type="autofit"/>
        <w:tblCellMar>
          <w:top w:w="0" w:type="dxa"/>
          <w:left w:w="108" w:type="dxa"/>
          <w:bottom w:w="0" w:type="dxa"/>
          <w:right w:w="108" w:type="dxa"/>
        </w:tblCellMar>
      </w:tblPr>
      <w:tblGrid>
        <w:gridCol w:w="970"/>
        <w:gridCol w:w="7660"/>
      </w:tblGrid>
      <w:tr>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6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温度：灌药液温度设定范围：25℃～40℃范围内可调，误差：±2℃。</w:t>
            </w:r>
          </w:p>
        </w:tc>
      </w:tr>
      <w:tr>
        <w:tblPrEx>
          <w:tblCellMar>
            <w:top w:w="0" w:type="dxa"/>
            <w:left w:w="108" w:type="dxa"/>
            <w:bottom w:w="0" w:type="dxa"/>
            <w:right w:w="108" w:type="dxa"/>
          </w:tblCellMar>
        </w:tblPrEx>
        <w:trPr>
          <w:trHeight w:val="81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660"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容量：储液桶容量≥16L，误差：±10％；</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药液杯容量≥500ml，误差：±10％。</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3.1 </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给液时间0s～10s可调，误差：±5％。</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3.2 </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停夜时间0s～10s可调，误差：±5％。</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3.3</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工作时间，可连续工作24小时以上</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4.1</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灌水时间5～95分钟，步进为5分钟, 误差：±10％。</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4.2</w:t>
            </w:r>
          </w:p>
        </w:tc>
        <w:tc>
          <w:tcPr>
            <w:tcW w:w="76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灌药液量0～5000ml，步进为10ml, 误差：±10％。</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水疗机工作噪声应≤65dB（A）</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一次性使用直肠导管：应选用具有医疗器械注册证或备案的合格产品。</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7.1</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最高温度超过工作温度设定值时，第一路保护装置必须动作，切断输出。</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7.2</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当温度降低到设定值以下后可以恢复输出。</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7.3</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如果保护装置失效造成温度继续升高到42℃±2℃，第二路保护装置应动作，切断电源。</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防干烧功能：应具有防干烧功能。</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多媒体播放功能：主机的副显示屏可以播放视频、音乐或图片，播放摄像画面。</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w:t>
            </w:r>
            <w:r>
              <w:rPr>
                <w:rFonts w:hint="eastAsia" w:ascii="宋体" w:hAnsi="宋体" w:eastAsia="宋体" w:cs="宋体"/>
                <w:color w:val="000000"/>
                <w:kern w:val="0"/>
                <w:sz w:val="22"/>
                <w:szCs w:val="22"/>
              </w:rPr>
              <w:t>10</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自动清洗管路，对进水进行过滤消毒纯化处理过滤杂质</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进水过滤精度:5um</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具有低温保护功能，进水温度低于设定温度5℃以上，设备停止工作</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治疗床承重≥135kg</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总功率:2000W</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w:t>
            </w:r>
            <w:r>
              <w:rPr>
                <w:rFonts w:hint="eastAsia" w:ascii="宋体" w:hAnsi="宋体" w:eastAsia="宋体" w:cs="宋体"/>
                <w:color w:val="000000"/>
                <w:kern w:val="0"/>
                <w:sz w:val="22"/>
                <w:szCs w:val="22"/>
              </w:rPr>
              <w:t>15</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两节一体机设计，方便挪动</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7660" w:type="dxa"/>
            <w:tcBorders>
              <w:top w:val="nil"/>
              <w:left w:val="nil"/>
              <w:bottom w:val="single" w:color="auto" w:sz="4" w:space="0"/>
              <w:right w:val="single" w:color="auto" w:sz="4" w:space="0"/>
            </w:tcBorders>
            <w:shd w:val="clear" w:color="auto" w:fill="auto"/>
            <w:noWrap/>
            <w:vAlign w:val="bottom"/>
          </w:tcPr>
          <w:p>
            <w:pPr>
              <w:widowControl/>
              <w:spacing w:after="240"/>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床和机器是一体化注册的，有实用新型和外观设计获得专利证书</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应具有《医疗器械注册证》的合格产品。</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nil"/>
              <w:right w:val="single" w:color="auto" w:sz="4" w:space="0"/>
            </w:tcBorders>
            <w:shd w:val="clear" w:color="auto" w:fill="auto"/>
            <w:noWrap/>
            <w:vAlign w:val="bottom"/>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7660" w:type="dxa"/>
            <w:tcBorders>
              <w:top w:val="nil"/>
              <w:left w:val="nil"/>
              <w:bottom w:val="nil"/>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电磁兼容性：符合电磁兼容性（EMC）国家标准。</w:t>
            </w:r>
          </w:p>
        </w:tc>
      </w:tr>
      <w:tr>
        <w:tblPrEx>
          <w:tblCellMar>
            <w:top w:w="0" w:type="dxa"/>
            <w:left w:w="108" w:type="dxa"/>
            <w:bottom w:w="0" w:type="dxa"/>
            <w:right w:w="108" w:type="dxa"/>
          </w:tblCellMar>
        </w:tblPrEx>
        <w:trPr>
          <w:trHeight w:val="270" w:hRule="atLeast"/>
        </w:trPr>
        <w:tc>
          <w:tcPr>
            <w:tcW w:w="97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★19</w:t>
            </w:r>
          </w:p>
        </w:tc>
        <w:tc>
          <w:tcPr>
            <w:tcW w:w="766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rPr>
            </w:pPr>
            <w:r>
              <w:rPr>
                <w:rFonts w:hint="eastAsia" w:ascii="宋体" w:hAnsi="宋体" w:eastAsia="宋体"/>
                <w:sz w:val="24"/>
                <w:szCs w:val="24"/>
                <w:lang w:eastAsia="zh-CN"/>
              </w:rPr>
              <w:t>整机原厂质保≥4年，出保后无人工费，只收取配件费用</w:t>
            </w:r>
          </w:p>
        </w:tc>
      </w:tr>
    </w:tbl>
    <w:p>
      <w:pPr>
        <w:pStyle w:val="30"/>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360" w:lineRule="auto"/>
        <w:ind w:leftChars="0" w:firstLine="480" w:firstLineChars="200"/>
        <w:textAlignment w:val="auto"/>
        <w:rPr>
          <w:rFonts w:hint="eastAsia" w:ascii="宋体" w:hAnsi="宋体" w:eastAsia="宋体" w:cs="宋体"/>
          <w:sz w:val="24"/>
          <w:szCs w:val="24"/>
          <w:lang w:val="en-US" w:eastAsia="zh-CN"/>
        </w:rPr>
      </w:pPr>
    </w:p>
    <w:p>
      <w:pPr>
        <w:rPr>
          <w:rFonts w:hint="eastAsia" w:ascii="宋体" w:hAnsi="宋体" w:eastAsia="宋体" w:cs="Times New Roman"/>
          <w:b/>
          <w:sz w:val="28"/>
          <w:szCs w:val="20"/>
        </w:rPr>
      </w:pPr>
      <w:r>
        <w:rPr>
          <w:rFonts w:hint="eastAsia" w:ascii="宋体" w:hAnsi="宋体" w:eastAsia="宋体" w:cs="Times New Roman"/>
          <w:b/>
          <w:sz w:val="28"/>
          <w:szCs w:val="20"/>
        </w:rPr>
        <w:br w:type="page"/>
      </w: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w:t>
      </w:r>
    </w:p>
    <w:p>
      <w:pPr>
        <w:pStyle w:val="57"/>
        <w:spacing w:line="360" w:lineRule="auto"/>
        <w:ind w:left="-420" w:firstLineChars="0"/>
        <w:rPr>
          <w:rFonts w:ascii="宋体" w:hAnsi="宋体" w:eastAsia="宋体"/>
          <w:sz w:val="24"/>
          <w:szCs w:val="24"/>
          <w:highlight w:val="none"/>
        </w:rPr>
      </w:pPr>
      <w:r>
        <w:rPr>
          <w:rFonts w:hint="eastAsia" w:ascii="宋体" w:hAnsi="宋体" w:eastAsia="宋体"/>
          <w:sz w:val="24"/>
          <w:szCs w:val="24"/>
        </w:rPr>
        <w:t>一、</w:t>
      </w:r>
      <w:r>
        <w:rPr>
          <w:rFonts w:hint="eastAsia" w:ascii="宋体" w:hAnsi="宋体" w:eastAsia="宋体" w:cs="Times New Roman"/>
          <w:sz w:val="24"/>
          <w:szCs w:val="24"/>
        </w:rPr>
        <w:t xml:space="preserve"> 设备名</w:t>
      </w:r>
      <w:r>
        <w:rPr>
          <w:rFonts w:hint="eastAsia" w:ascii="宋体" w:hAnsi="宋体" w:eastAsia="宋体" w:cs="Times New Roman"/>
          <w:sz w:val="24"/>
          <w:szCs w:val="24"/>
          <w:highlight w:val="none"/>
        </w:rPr>
        <w:t>称及数量：</w:t>
      </w:r>
      <w:r>
        <w:rPr>
          <w:rFonts w:hint="eastAsia" w:ascii="宋体" w:hAnsi="宋体" w:eastAsia="宋体" w:cs="Times New Roman"/>
          <w:bCs/>
          <w:sz w:val="24"/>
          <w:szCs w:val="24"/>
          <w:highlight w:val="none"/>
          <w:lang w:val="en-US" w:eastAsia="zh-CN"/>
        </w:rPr>
        <w:t>普通倒置显微镜</w:t>
      </w: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壹</w:t>
      </w:r>
      <w:r>
        <w:rPr>
          <w:rFonts w:hint="eastAsia" w:ascii="宋体" w:hAnsi="宋体" w:eastAsia="宋体" w:cs="Times New Roman"/>
          <w:sz w:val="24"/>
          <w:szCs w:val="24"/>
          <w:highlight w:val="none"/>
        </w:rPr>
        <w:t>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使用科室：检验科</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3400"/>
        <w:gridCol w:w="2862"/>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40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2862"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162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01"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3400"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1</w:t>
            </w:r>
          </w:p>
        </w:tc>
        <w:tc>
          <w:tcPr>
            <w:tcW w:w="2862"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检验科</w:t>
            </w:r>
          </w:p>
        </w:tc>
        <w:tc>
          <w:tcPr>
            <w:tcW w:w="1625" w:type="dxa"/>
            <w:vAlign w:val="center"/>
          </w:tcPr>
          <w:p>
            <w:pPr>
              <w:pStyle w:val="57"/>
              <w:spacing w:line="360" w:lineRule="auto"/>
              <w:ind w:firstLine="0" w:firstLineChars="0"/>
              <w:jc w:val="center"/>
              <w:rPr>
                <w:rFonts w:ascii="宋体" w:hAnsi="宋体" w:eastAsia="宋体"/>
                <w:sz w:val="24"/>
                <w:szCs w:val="24"/>
              </w:rPr>
            </w:pPr>
          </w:p>
        </w:tc>
      </w:tr>
    </w:tbl>
    <w:p>
      <w:pPr>
        <w:pStyle w:val="30"/>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w:t>
      </w:r>
      <w:r>
        <w:rPr>
          <w:rFonts w:hint="eastAsia" w:ascii="宋体" w:hAnsi="宋体" w:eastAsia="宋体"/>
          <w:b w:val="0"/>
          <w:bCs/>
          <w:szCs w:val="24"/>
        </w:rPr>
        <w:t>技术</w:t>
      </w:r>
      <w:r>
        <w:rPr>
          <w:rFonts w:hint="eastAsia" w:ascii="宋体" w:hAnsi="宋体" w:eastAsia="宋体"/>
          <w:szCs w:val="24"/>
        </w:rPr>
        <w:t>指标要求：</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Cs/>
          <w:sz w:val="24"/>
          <w:szCs w:val="24"/>
          <w:lang w:eastAsia="zh-CN"/>
        </w:rPr>
        <w:t>、</w:t>
      </w:r>
      <w:r>
        <w:rPr>
          <w:rFonts w:hint="eastAsia" w:ascii="宋体" w:hAnsi="宋体" w:eastAsia="宋体" w:cs="宋体"/>
          <w:bCs/>
          <w:sz w:val="24"/>
          <w:szCs w:val="24"/>
        </w:rPr>
        <w:t>光学系统：无限远校正光学系统，齐焦距离必须为国际标准45mm。</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2</w:t>
      </w:r>
      <w:r>
        <w:rPr>
          <w:rFonts w:hint="eastAsia" w:ascii="宋体" w:hAnsi="宋体" w:eastAsia="宋体" w:cs="宋体"/>
          <w:bCs/>
          <w:sz w:val="24"/>
          <w:szCs w:val="24"/>
          <w:lang w:eastAsia="zh-CN"/>
        </w:rPr>
        <w:t>、</w:t>
      </w:r>
      <w:r>
        <w:rPr>
          <w:rFonts w:hint="eastAsia" w:ascii="宋体" w:hAnsi="宋体" w:eastAsia="宋体" w:cs="宋体"/>
          <w:bCs/>
          <w:sz w:val="24"/>
          <w:szCs w:val="24"/>
        </w:rPr>
        <w:t>聚光镜：通过物镜转盘的上下移动进行调焦（载物台高度固定）。备有聚焦机构同轴粗、微调旋钮，旋钮扭矩可调，由滚柱机构导向。粗调行程每一圈为≥36.8mm，微调行程每一圈为≤0.2mm。</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w:t>
      </w:r>
      <w:r>
        <w:rPr>
          <w:rFonts w:hint="eastAsia" w:ascii="宋体" w:hAnsi="宋体" w:eastAsia="宋体" w:cs="宋体"/>
          <w:bCs/>
          <w:sz w:val="24"/>
          <w:szCs w:val="24"/>
          <w:lang w:eastAsia="zh-CN"/>
        </w:rPr>
        <w:t>、</w:t>
      </w:r>
      <w:r>
        <w:rPr>
          <w:rFonts w:hint="eastAsia" w:ascii="宋体" w:hAnsi="宋体" w:eastAsia="宋体" w:cs="宋体"/>
          <w:bCs/>
          <w:sz w:val="24"/>
          <w:szCs w:val="24"/>
        </w:rPr>
        <w:t>观察镜筒：宽视野三目镜筒，视场数≥22</w:t>
      </w:r>
    </w:p>
    <w:p>
      <w:pPr>
        <w:spacing w:line="360" w:lineRule="auto"/>
        <w:ind w:firstLine="120" w:firstLineChars="50"/>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bCs/>
          <w:sz w:val="24"/>
          <w:szCs w:val="24"/>
          <w:lang w:eastAsia="zh-CN"/>
        </w:rPr>
        <w:t>、</w:t>
      </w:r>
      <w:r>
        <w:rPr>
          <w:rFonts w:hint="eastAsia" w:ascii="宋体" w:hAnsi="宋体" w:eastAsia="宋体" w:cs="宋体"/>
          <w:bCs/>
          <w:sz w:val="24"/>
          <w:szCs w:val="24"/>
        </w:rPr>
        <w:t>照明装置：LED光源,有效使用≥50000小时</w:t>
      </w:r>
    </w:p>
    <w:p>
      <w:pPr>
        <w:widowControl/>
        <w:spacing w:line="360" w:lineRule="auto"/>
        <w:ind w:firstLine="120" w:firstLineChars="50"/>
        <w:rPr>
          <w:rFonts w:hint="eastAsia" w:ascii="宋体" w:hAnsi="宋体" w:eastAsia="宋体" w:cs="宋体"/>
          <w:bCs/>
          <w:sz w:val="24"/>
          <w:szCs w:val="24"/>
        </w:rPr>
      </w:pPr>
      <w:r>
        <w:rPr>
          <w:rFonts w:hint="eastAsia" w:ascii="宋体" w:hAnsi="宋体" w:eastAsia="宋体" w:cs="宋体"/>
          <w:bCs/>
          <w:sz w:val="24"/>
          <w:szCs w:val="24"/>
        </w:rPr>
        <w:t>5</w:t>
      </w:r>
      <w:r>
        <w:rPr>
          <w:rFonts w:hint="eastAsia" w:ascii="宋体" w:hAnsi="宋体" w:eastAsia="宋体" w:cs="宋体"/>
          <w:bCs/>
          <w:sz w:val="24"/>
          <w:szCs w:val="24"/>
          <w:lang w:eastAsia="zh-CN"/>
        </w:rPr>
        <w:t>、</w:t>
      </w:r>
      <w:r>
        <w:rPr>
          <w:rFonts w:hint="eastAsia" w:ascii="宋体" w:hAnsi="宋体" w:eastAsia="宋体" w:cs="宋体"/>
          <w:bCs/>
          <w:sz w:val="24"/>
          <w:szCs w:val="24"/>
        </w:rPr>
        <w:t xml:space="preserve">物镜：预对中相差物镜4X、10X、中长工作距离相差物镜20X、40X </w:t>
      </w:r>
    </w:p>
    <w:p>
      <w:pPr>
        <w:spacing w:line="360" w:lineRule="auto"/>
        <w:ind w:firstLine="120" w:firstLineChars="50"/>
        <w:rPr>
          <w:rFonts w:hint="eastAsia" w:ascii="宋体" w:hAnsi="宋体" w:eastAsia="宋体" w:cs="宋体"/>
          <w:bCs/>
          <w:sz w:val="24"/>
          <w:szCs w:val="24"/>
        </w:rPr>
      </w:pPr>
      <w:r>
        <w:rPr>
          <w:rFonts w:hint="eastAsia" w:ascii="宋体" w:hAnsi="宋体" w:eastAsia="宋体" w:cs="宋体"/>
          <w:bCs/>
          <w:sz w:val="24"/>
          <w:szCs w:val="24"/>
        </w:rPr>
        <w:t>6</w:t>
      </w:r>
      <w:r>
        <w:rPr>
          <w:rFonts w:hint="eastAsia" w:ascii="宋体" w:hAnsi="宋体" w:eastAsia="宋体" w:cs="宋体"/>
          <w:bCs/>
          <w:sz w:val="24"/>
          <w:szCs w:val="24"/>
          <w:lang w:eastAsia="zh-CN"/>
        </w:rPr>
        <w:t>、</w:t>
      </w:r>
      <w:r>
        <w:rPr>
          <w:rFonts w:hint="eastAsia" w:ascii="宋体" w:hAnsi="宋体" w:eastAsia="宋体" w:cs="宋体"/>
          <w:bCs/>
          <w:sz w:val="24"/>
          <w:szCs w:val="24"/>
        </w:rPr>
        <w:t>载物台：备有右手用低位置同轴X、Y向传动旋钮。载物台行程：X=110mm，Y=74mm。</w:t>
      </w:r>
    </w:p>
    <w:p>
      <w:pPr>
        <w:spacing w:line="360" w:lineRule="auto"/>
        <w:ind w:firstLine="120" w:firstLineChars="50"/>
        <w:rPr>
          <w:rFonts w:hint="eastAsia" w:ascii="宋体" w:hAnsi="宋体" w:eastAsia="宋体" w:cs="宋体"/>
          <w:bCs/>
          <w:sz w:val="24"/>
          <w:szCs w:val="24"/>
        </w:rPr>
      </w:pPr>
      <w:r>
        <w:rPr>
          <w:rFonts w:hint="eastAsia" w:ascii="宋体" w:hAnsi="宋体" w:eastAsia="宋体" w:cs="宋体"/>
          <w:bCs/>
          <w:sz w:val="24"/>
          <w:szCs w:val="24"/>
        </w:rPr>
        <w:t>7</w:t>
      </w:r>
      <w:r>
        <w:rPr>
          <w:rFonts w:hint="eastAsia" w:ascii="宋体" w:hAnsi="宋体" w:eastAsia="宋体" w:cs="宋体"/>
          <w:bCs/>
          <w:sz w:val="24"/>
          <w:szCs w:val="24"/>
          <w:lang w:eastAsia="zh-CN"/>
        </w:rPr>
        <w:t>、</w:t>
      </w:r>
      <w:r>
        <w:rPr>
          <w:rFonts w:hint="eastAsia" w:ascii="宋体" w:hAnsi="宋体" w:eastAsia="宋体" w:cs="宋体"/>
          <w:bCs/>
          <w:sz w:val="24"/>
          <w:szCs w:val="24"/>
        </w:rPr>
        <w:t>目镜：10×，视场直径为22</w:t>
      </w:r>
    </w:p>
    <w:p>
      <w:pPr>
        <w:spacing w:line="360" w:lineRule="auto"/>
        <w:ind w:firstLine="120" w:firstLineChars="50"/>
        <w:rPr>
          <w:rFonts w:hint="eastAsia" w:ascii="宋体" w:hAnsi="宋体" w:eastAsia="宋体" w:cs="宋体"/>
          <w:bCs/>
          <w:sz w:val="24"/>
          <w:szCs w:val="24"/>
        </w:rPr>
      </w:pPr>
      <w:r>
        <w:rPr>
          <w:rFonts w:hint="eastAsia" w:ascii="宋体" w:hAnsi="宋体" w:eastAsia="宋体" w:cs="宋体"/>
          <w:bCs/>
          <w:sz w:val="24"/>
          <w:szCs w:val="24"/>
        </w:rPr>
        <w:t>8</w:t>
      </w:r>
      <w:r>
        <w:rPr>
          <w:rFonts w:hint="eastAsia" w:ascii="宋体" w:hAnsi="宋体" w:eastAsia="宋体" w:cs="宋体"/>
          <w:bCs/>
          <w:sz w:val="24"/>
          <w:szCs w:val="24"/>
          <w:lang w:eastAsia="zh-CN"/>
        </w:rPr>
        <w:t>、</w:t>
      </w:r>
      <w:r>
        <w:rPr>
          <w:rFonts w:hint="eastAsia" w:ascii="宋体" w:hAnsi="宋体" w:eastAsia="宋体" w:cs="宋体"/>
          <w:bCs/>
          <w:sz w:val="24"/>
          <w:szCs w:val="24"/>
        </w:rPr>
        <w:t>备有可拆装的超长工作距离聚光镜：N.A.≥0.3，W.D.≥72mm</w:t>
      </w:r>
    </w:p>
    <w:p>
      <w:pPr>
        <w:spacing w:line="360" w:lineRule="auto"/>
        <w:ind w:firstLine="120" w:firstLineChars="50"/>
        <w:rPr>
          <w:rFonts w:hint="eastAsia" w:ascii="宋体" w:hAnsi="宋体" w:eastAsia="宋体" w:cs="宋体"/>
          <w:bCs/>
          <w:sz w:val="24"/>
          <w:szCs w:val="24"/>
        </w:rPr>
      </w:pPr>
      <w:r>
        <w:rPr>
          <w:rFonts w:hint="eastAsia" w:ascii="宋体" w:hAnsi="宋体" w:eastAsia="宋体" w:cs="宋体"/>
          <w:bCs/>
          <w:sz w:val="24"/>
          <w:szCs w:val="24"/>
        </w:rPr>
        <w:t>9</w:t>
      </w:r>
      <w:r>
        <w:rPr>
          <w:rFonts w:hint="eastAsia" w:ascii="宋体" w:hAnsi="宋体" w:eastAsia="宋体" w:cs="宋体"/>
          <w:bCs/>
          <w:sz w:val="24"/>
          <w:szCs w:val="24"/>
          <w:lang w:eastAsia="zh-CN"/>
        </w:rPr>
        <w:t>、</w:t>
      </w:r>
      <w:r>
        <w:rPr>
          <w:rFonts w:hint="eastAsia" w:ascii="宋体" w:hAnsi="宋体" w:eastAsia="宋体" w:cs="宋体"/>
          <w:bCs/>
          <w:sz w:val="24"/>
          <w:szCs w:val="24"/>
        </w:rPr>
        <w:t>相差系统：预对中相差环板</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★10</w:t>
      </w:r>
      <w:r>
        <w:rPr>
          <w:rFonts w:hint="eastAsia" w:ascii="宋体" w:hAnsi="宋体" w:eastAsia="宋体" w:cs="宋体"/>
          <w:bCs/>
          <w:sz w:val="24"/>
          <w:szCs w:val="24"/>
          <w:lang w:eastAsia="zh-CN"/>
        </w:rPr>
        <w:t>、</w:t>
      </w:r>
      <w:r>
        <w:rPr>
          <w:rFonts w:hint="eastAsia" w:ascii="宋体" w:hAnsi="宋体" w:eastAsia="宋体" w:cs="宋体"/>
          <w:bCs/>
          <w:sz w:val="24"/>
          <w:szCs w:val="24"/>
        </w:rPr>
        <w:t>所采用光学元件均为环保无铅玻璃，样本上有ECO无铅认证标识</w:t>
      </w:r>
    </w:p>
    <w:p>
      <w:pPr>
        <w:pStyle w:val="2"/>
        <w:rPr>
          <w:rFonts w:hint="default" w:eastAsia="宋体"/>
          <w:lang w:val="en-US" w:eastAsia="zh-CN"/>
        </w:rPr>
      </w:pPr>
      <w:r>
        <w:rPr>
          <w:rFonts w:hint="eastAsia" w:ascii="宋体" w:hAnsi="宋体" w:eastAsia="宋体" w:cs="宋体"/>
          <w:bCs/>
          <w:sz w:val="24"/>
          <w:szCs w:val="24"/>
          <w:lang w:val="en-US" w:eastAsia="zh-CN"/>
        </w:rPr>
        <w:t>★11、原厂质保≥5年</w:t>
      </w:r>
    </w:p>
    <w:p>
      <w:pPr>
        <w:pStyle w:val="30"/>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default" w:ascii="宋体" w:hAnsi="宋体" w:eastAsia="宋体" w:cs="宋体"/>
          <w:b w:val="0"/>
          <w:i w:val="0"/>
          <w:caps w:val="0"/>
          <w:color w:val="333333"/>
          <w:spacing w:val="0"/>
          <w:sz w:val="21"/>
          <w:szCs w:val="21"/>
          <w:lang w:val="en-US" w:eastAsia="zh-CN"/>
        </w:rPr>
      </w:pPr>
    </w:p>
    <w:p>
      <w:pPr>
        <w:rPr>
          <w:rFonts w:hint="eastAsia" w:ascii="宋体" w:hAnsi="宋体" w:eastAsia="宋体" w:cs="Times New Roman"/>
          <w:b/>
          <w:sz w:val="28"/>
          <w:szCs w:val="20"/>
        </w:rPr>
      </w:pPr>
      <w:r>
        <w:rPr>
          <w:rFonts w:hint="eastAsia" w:ascii="宋体" w:hAnsi="宋体" w:eastAsia="宋体" w:cs="Times New Roman"/>
          <w:b/>
          <w:sz w:val="28"/>
          <w:szCs w:val="20"/>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w:t>
    </w:r>
    <w:r>
      <w:rPr>
        <w:lang w:val="zh-CN"/>
      </w:rPr>
      <w:fldChar w:fldCharType="end"/>
    </w:r>
  </w:p>
  <w:p>
    <w:pPr>
      <w:pStyle w:val="23"/>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2</w:t>
    </w:r>
    <w:r>
      <w:rPr>
        <w:lang w:val="zh-CN"/>
      </w:rPr>
      <w:fldChar w:fldCharType="end"/>
    </w:r>
  </w:p>
  <w:p>
    <w:pPr>
      <w:pStyle w:val="23"/>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6BEC1"/>
    <w:multiLevelType w:val="singleLevel"/>
    <w:tmpl w:val="9016BEC1"/>
    <w:lvl w:ilvl="0" w:tentative="0">
      <w:start w:val="1"/>
      <w:numFmt w:val="chineseCounting"/>
      <w:suff w:val="space"/>
      <w:lvlText w:val="%1、"/>
      <w:lvlJc w:val="left"/>
      <w:rPr>
        <w:rFonts w:hint="eastAsia"/>
      </w:rPr>
    </w:lvl>
  </w:abstractNum>
  <w:abstractNum w:abstractNumId="1">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2">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37F0B26"/>
    <w:rsid w:val="047D221A"/>
    <w:rsid w:val="04D87203"/>
    <w:rsid w:val="059503E5"/>
    <w:rsid w:val="05D709B3"/>
    <w:rsid w:val="06267614"/>
    <w:rsid w:val="06710E08"/>
    <w:rsid w:val="07C20BED"/>
    <w:rsid w:val="080005EB"/>
    <w:rsid w:val="088937C8"/>
    <w:rsid w:val="08FD6983"/>
    <w:rsid w:val="0A7753AE"/>
    <w:rsid w:val="0AAA6A3F"/>
    <w:rsid w:val="0B001E0F"/>
    <w:rsid w:val="0B517B04"/>
    <w:rsid w:val="0BF00DA4"/>
    <w:rsid w:val="0C9A1884"/>
    <w:rsid w:val="0EB045BA"/>
    <w:rsid w:val="0EF02652"/>
    <w:rsid w:val="0F102FA9"/>
    <w:rsid w:val="124770E1"/>
    <w:rsid w:val="129544B2"/>
    <w:rsid w:val="143C0CA7"/>
    <w:rsid w:val="171A5BFB"/>
    <w:rsid w:val="1738378D"/>
    <w:rsid w:val="19DC576F"/>
    <w:rsid w:val="19EE47F1"/>
    <w:rsid w:val="1A102FF2"/>
    <w:rsid w:val="1A5F06D7"/>
    <w:rsid w:val="1C70162B"/>
    <w:rsid w:val="1DBC650F"/>
    <w:rsid w:val="1E4F1A12"/>
    <w:rsid w:val="206F557C"/>
    <w:rsid w:val="21452BB3"/>
    <w:rsid w:val="22AA393E"/>
    <w:rsid w:val="22E569AE"/>
    <w:rsid w:val="233F4233"/>
    <w:rsid w:val="2413315A"/>
    <w:rsid w:val="252C3901"/>
    <w:rsid w:val="2598727A"/>
    <w:rsid w:val="25B97D43"/>
    <w:rsid w:val="271D349F"/>
    <w:rsid w:val="2759709D"/>
    <w:rsid w:val="275B1B2A"/>
    <w:rsid w:val="275E3B93"/>
    <w:rsid w:val="28BA5071"/>
    <w:rsid w:val="2A051D79"/>
    <w:rsid w:val="2A772365"/>
    <w:rsid w:val="2B1346B0"/>
    <w:rsid w:val="2B2963D3"/>
    <w:rsid w:val="2BDD231E"/>
    <w:rsid w:val="2CCD473A"/>
    <w:rsid w:val="2E287082"/>
    <w:rsid w:val="2E4C6F92"/>
    <w:rsid w:val="2F2C5770"/>
    <w:rsid w:val="2F397E65"/>
    <w:rsid w:val="327B0210"/>
    <w:rsid w:val="34EE008B"/>
    <w:rsid w:val="357E0CC8"/>
    <w:rsid w:val="35805CB4"/>
    <w:rsid w:val="36CA3141"/>
    <w:rsid w:val="375A17A7"/>
    <w:rsid w:val="38593614"/>
    <w:rsid w:val="39301A51"/>
    <w:rsid w:val="39C11183"/>
    <w:rsid w:val="3A5D54C6"/>
    <w:rsid w:val="3AE55278"/>
    <w:rsid w:val="3BF15DAC"/>
    <w:rsid w:val="3C03549A"/>
    <w:rsid w:val="3CD70CBD"/>
    <w:rsid w:val="3DA4759C"/>
    <w:rsid w:val="3DFE745B"/>
    <w:rsid w:val="3E2B711B"/>
    <w:rsid w:val="3E2D1012"/>
    <w:rsid w:val="3EAD6BC8"/>
    <w:rsid w:val="409018AF"/>
    <w:rsid w:val="412709D8"/>
    <w:rsid w:val="41627833"/>
    <w:rsid w:val="416D419A"/>
    <w:rsid w:val="418D7FE4"/>
    <w:rsid w:val="419D0727"/>
    <w:rsid w:val="421443FB"/>
    <w:rsid w:val="427239F0"/>
    <w:rsid w:val="433E5FF5"/>
    <w:rsid w:val="43426C26"/>
    <w:rsid w:val="44307631"/>
    <w:rsid w:val="44E76487"/>
    <w:rsid w:val="4668169A"/>
    <w:rsid w:val="48D569F9"/>
    <w:rsid w:val="49B25227"/>
    <w:rsid w:val="4B863339"/>
    <w:rsid w:val="4C2652B7"/>
    <w:rsid w:val="4D25098E"/>
    <w:rsid w:val="4D77632F"/>
    <w:rsid w:val="4E7C3473"/>
    <w:rsid w:val="4EC83D94"/>
    <w:rsid w:val="501778F7"/>
    <w:rsid w:val="505A58A5"/>
    <w:rsid w:val="511278FC"/>
    <w:rsid w:val="52B54FEA"/>
    <w:rsid w:val="52C021AE"/>
    <w:rsid w:val="536F70C2"/>
    <w:rsid w:val="5371335C"/>
    <w:rsid w:val="5389510F"/>
    <w:rsid w:val="539B083F"/>
    <w:rsid w:val="56C17F84"/>
    <w:rsid w:val="56E47D9C"/>
    <w:rsid w:val="56E97E3E"/>
    <w:rsid w:val="571A5DA5"/>
    <w:rsid w:val="575256B8"/>
    <w:rsid w:val="57931FDC"/>
    <w:rsid w:val="584A2B82"/>
    <w:rsid w:val="5912342D"/>
    <w:rsid w:val="599F736E"/>
    <w:rsid w:val="59A549DC"/>
    <w:rsid w:val="5ADB606D"/>
    <w:rsid w:val="5AF47091"/>
    <w:rsid w:val="5B7B7104"/>
    <w:rsid w:val="5BDB7A2A"/>
    <w:rsid w:val="5C3F2B37"/>
    <w:rsid w:val="5CF501E7"/>
    <w:rsid w:val="5E4E4400"/>
    <w:rsid w:val="5E5E67D4"/>
    <w:rsid w:val="5F2F2B58"/>
    <w:rsid w:val="5F9429F0"/>
    <w:rsid w:val="6042276E"/>
    <w:rsid w:val="60BA47AE"/>
    <w:rsid w:val="61830F82"/>
    <w:rsid w:val="6343656A"/>
    <w:rsid w:val="63D92820"/>
    <w:rsid w:val="64917820"/>
    <w:rsid w:val="66307F76"/>
    <w:rsid w:val="67F0315B"/>
    <w:rsid w:val="685F15E7"/>
    <w:rsid w:val="695A7333"/>
    <w:rsid w:val="6A0856B9"/>
    <w:rsid w:val="6A141F42"/>
    <w:rsid w:val="6A1879E8"/>
    <w:rsid w:val="6B792AC7"/>
    <w:rsid w:val="6CE12E64"/>
    <w:rsid w:val="6CEA0C57"/>
    <w:rsid w:val="6D024D8C"/>
    <w:rsid w:val="6ECC7A0D"/>
    <w:rsid w:val="6F490848"/>
    <w:rsid w:val="70104AA9"/>
    <w:rsid w:val="70EA395C"/>
    <w:rsid w:val="71A30B93"/>
    <w:rsid w:val="71A37E98"/>
    <w:rsid w:val="727F0666"/>
    <w:rsid w:val="734A52EE"/>
    <w:rsid w:val="7397006E"/>
    <w:rsid w:val="73EA1ADD"/>
    <w:rsid w:val="740D6797"/>
    <w:rsid w:val="75CC49D7"/>
    <w:rsid w:val="77111160"/>
    <w:rsid w:val="77C35AEB"/>
    <w:rsid w:val="77E6082D"/>
    <w:rsid w:val="79715BD1"/>
    <w:rsid w:val="7A5944E4"/>
    <w:rsid w:val="7B172D9A"/>
    <w:rsid w:val="7C3A20F4"/>
    <w:rsid w:val="7C7B1B4E"/>
    <w:rsid w:val="7CA25B04"/>
    <w:rsid w:val="7DD03920"/>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napToGrid w:val="0"/>
      <w:spacing w:before="120"/>
    </w:pPr>
    <w:rPr>
      <w:rFonts w:ascii="Times New Roman" w:hAnsi="Times New Roman" w:eastAsia="宋体" w:cs="Times New Roman"/>
      <w:szCs w:val="21"/>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204"/>
    <w:qFormat/>
    <w:uiPriority w:val="0"/>
    <w:rPr>
      <w:rFonts w:ascii="宋体" w:hAnsi="Times New Roman" w:eastAsia="宋体" w:cs="Times New Roman"/>
      <w:sz w:val="18"/>
      <w:szCs w:val="18"/>
    </w:rPr>
  </w:style>
  <w:style w:type="paragraph" w:styleId="14">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5">
    <w:name w:val="Body Text 3"/>
    <w:basedOn w:val="1"/>
    <w:link w:val="178"/>
    <w:qFormat/>
    <w:uiPriority w:val="0"/>
    <w:rPr>
      <w:rFonts w:ascii="Times New Roman" w:hAnsi="Times New Roman" w:eastAsia="宋体" w:cs="Times New Roman"/>
      <w:sz w:val="48"/>
      <w:szCs w:val="48"/>
    </w:rPr>
  </w:style>
  <w:style w:type="paragraph" w:styleId="16">
    <w:name w:val="Body Text"/>
    <w:basedOn w:val="1"/>
    <w:link w:val="105"/>
    <w:qFormat/>
    <w:uiPriority w:val="0"/>
    <w:pPr>
      <w:spacing w:after="120"/>
    </w:pPr>
    <w:rPr>
      <w:rFonts w:ascii="Times New Roman" w:hAnsi="Times New Roman" w:eastAsia="宋体" w:cs="Times New Roman"/>
      <w:szCs w:val="20"/>
    </w:rPr>
  </w:style>
  <w:style w:type="paragraph" w:styleId="17">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8">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9">
    <w:name w:val="Plain Text"/>
    <w:basedOn w:val="1"/>
    <w:link w:val="54"/>
    <w:qFormat/>
    <w:uiPriority w:val="0"/>
    <w:rPr>
      <w:rFonts w:ascii="宋体" w:hAnsi="Courier New" w:eastAsia="宋体" w:cs="Times New Roman"/>
      <w:szCs w:val="20"/>
    </w:rPr>
  </w:style>
  <w:style w:type="paragraph" w:styleId="20">
    <w:name w:val="Date"/>
    <w:basedOn w:val="1"/>
    <w:next w:val="1"/>
    <w:link w:val="55"/>
    <w:qFormat/>
    <w:uiPriority w:val="0"/>
    <w:rPr>
      <w:rFonts w:ascii="宋体" w:hAnsi="Times New Roman" w:eastAsia="宋体" w:cs="Times New Roman"/>
      <w:b/>
      <w:sz w:val="36"/>
      <w:szCs w:val="20"/>
    </w:rPr>
  </w:style>
  <w:style w:type="paragraph" w:styleId="21">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2">
    <w:name w:val="Balloon Text"/>
    <w:basedOn w:val="1"/>
    <w:link w:val="113"/>
    <w:semiHidden/>
    <w:qFormat/>
    <w:uiPriority w:val="0"/>
    <w:rPr>
      <w:rFonts w:ascii="Times New Roman" w:hAnsi="Times New Roman" w:eastAsia="宋体" w:cs="Times New Roman"/>
      <w:sz w:val="18"/>
      <w:szCs w:val="18"/>
    </w:rPr>
  </w:style>
  <w:style w:type="paragraph" w:styleId="23">
    <w:name w:val="footer"/>
    <w:basedOn w:val="1"/>
    <w:link w:val="43"/>
    <w:unhideWhenUsed/>
    <w:qFormat/>
    <w:uiPriority w:val="99"/>
    <w:pPr>
      <w:tabs>
        <w:tab w:val="center" w:pos="4153"/>
        <w:tab w:val="right" w:pos="8306"/>
      </w:tabs>
      <w:snapToGrid w:val="0"/>
      <w:jc w:val="left"/>
    </w:pPr>
    <w:rPr>
      <w:sz w:val="18"/>
      <w:szCs w:val="18"/>
    </w:rPr>
  </w:style>
  <w:style w:type="paragraph" w:styleId="24">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6">
    <w:name w:val="List"/>
    <w:basedOn w:val="1"/>
    <w:qFormat/>
    <w:uiPriority w:val="0"/>
    <w:pPr>
      <w:ind w:left="200" w:hanging="200" w:hangingChars="200"/>
    </w:pPr>
    <w:rPr>
      <w:rFonts w:ascii="Times New Roman" w:hAnsi="Times New Roman" w:eastAsia="宋体" w:cs="Times New Roman"/>
      <w:szCs w:val="20"/>
    </w:rPr>
  </w:style>
  <w:style w:type="paragraph" w:styleId="27">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8">
    <w:name w:val="Body Text 2"/>
    <w:basedOn w:val="1"/>
    <w:link w:val="108"/>
    <w:qFormat/>
    <w:uiPriority w:val="0"/>
    <w:pPr>
      <w:jc w:val="center"/>
    </w:pPr>
    <w:rPr>
      <w:rFonts w:ascii="楷体_GB2312" w:hAnsi="Times New Roman" w:eastAsia="楷体_GB2312" w:cs="Times New Roman"/>
      <w:b/>
      <w:sz w:val="72"/>
      <w:szCs w:val="20"/>
    </w:rPr>
  </w:style>
  <w:style w:type="paragraph" w:styleId="29">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0">
    <w:name w:val="Normal (Web)"/>
    <w:basedOn w:val="1"/>
    <w:qFormat/>
    <w:uiPriority w:val="0"/>
    <w:pPr>
      <w:spacing w:before="100" w:beforeAutospacing="1" w:after="100" w:afterAutospacing="1"/>
      <w:jc w:val="left"/>
    </w:pPr>
    <w:rPr>
      <w:rFonts w:cs="Times New Roman"/>
      <w:kern w:val="0"/>
      <w:sz w:val="24"/>
    </w:rPr>
  </w:style>
  <w:style w:type="paragraph" w:styleId="31">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2">
    <w:name w:val="annotation subject"/>
    <w:basedOn w:val="14"/>
    <w:next w:val="14"/>
    <w:link w:val="179"/>
    <w:qFormat/>
    <w:uiPriority w:val="0"/>
    <w:pPr>
      <w:adjustRightInd/>
      <w:spacing w:line="240" w:lineRule="auto"/>
      <w:textAlignment w:val="auto"/>
    </w:pPr>
    <w:rPr>
      <w:b/>
      <w:bCs/>
      <w:kern w:val="2"/>
      <w:sz w:val="21"/>
      <w:szCs w:val="24"/>
    </w:rPr>
  </w:style>
  <w:style w:type="paragraph" w:styleId="33">
    <w:name w:val="Body Text First Indent"/>
    <w:basedOn w:val="16"/>
    <w:qFormat/>
    <w:uiPriority w:val="0"/>
    <w:pPr>
      <w:autoSpaceDE w:val="0"/>
      <w:autoSpaceDN w:val="0"/>
      <w:spacing w:line="560" w:lineRule="exact"/>
      <w:ind w:firstLine="100" w:firstLineChars="100"/>
    </w:pPr>
    <w:rPr>
      <w:szCs w:val="24"/>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page number"/>
    <w:basedOn w:val="36"/>
    <w:qFormat/>
    <w:uiPriority w:val="0"/>
  </w:style>
  <w:style w:type="character" w:styleId="38">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39">
    <w:name w:val="Emphasis"/>
    <w:basedOn w:val="36"/>
    <w:qFormat/>
    <w:uiPriority w:val="20"/>
    <w:rPr>
      <w:i/>
    </w:rPr>
  </w:style>
  <w:style w:type="character" w:styleId="40">
    <w:name w:val="Hyperlink"/>
    <w:qFormat/>
    <w:uiPriority w:val="0"/>
    <w:rPr>
      <w:color w:val="0000FF"/>
      <w:u w:val="single"/>
    </w:rPr>
  </w:style>
  <w:style w:type="character" w:styleId="41">
    <w:name w:val="annotation reference"/>
    <w:qFormat/>
    <w:uiPriority w:val="0"/>
    <w:rPr>
      <w:sz w:val="21"/>
      <w:szCs w:val="21"/>
    </w:rPr>
  </w:style>
  <w:style w:type="character" w:customStyle="1" w:styleId="42">
    <w:name w:val="页眉 字符"/>
    <w:basedOn w:val="36"/>
    <w:link w:val="24"/>
    <w:qFormat/>
    <w:uiPriority w:val="99"/>
    <w:rPr>
      <w:sz w:val="18"/>
      <w:szCs w:val="18"/>
    </w:rPr>
  </w:style>
  <w:style w:type="character" w:customStyle="1" w:styleId="43">
    <w:name w:val="页脚 字符"/>
    <w:basedOn w:val="36"/>
    <w:link w:val="23"/>
    <w:qFormat/>
    <w:uiPriority w:val="99"/>
    <w:rPr>
      <w:sz w:val="18"/>
      <w:szCs w:val="18"/>
    </w:rPr>
  </w:style>
  <w:style w:type="character" w:customStyle="1" w:styleId="44">
    <w:name w:val="标题 1 字符"/>
    <w:basedOn w:val="36"/>
    <w:link w:val="3"/>
    <w:qFormat/>
    <w:uiPriority w:val="0"/>
    <w:rPr>
      <w:rFonts w:ascii="Times New Roman" w:hAnsi="Times New Roman" w:eastAsia="宋体" w:cs="Times New Roman"/>
      <w:b/>
      <w:kern w:val="44"/>
      <w:sz w:val="44"/>
      <w:szCs w:val="20"/>
    </w:rPr>
  </w:style>
  <w:style w:type="character" w:customStyle="1" w:styleId="45">
    <w:name w:val="标题 2 字符"/>
    <w:basedOn w:val="36"/>
    <w:link w:val="4"/>
    <w:qFormat/>
    <w:uiPriority w:val="0"/>
    <w:rPr>
      <w:rFonts w:ascii="Arial" w:hAnsi="Arial" w:eastAsia="黑体" w:cs="Times New Roman"/>
      <w:b/>
      <w:bCs/>
      <w:sz w:val="32"/>
      <w:szCs w:val="32"/>
    </w:rPr>
  </w:style>
  <w:style w:type="character" w:customStyle="1" w:styleId="46">
    <w:name w:val="标题 3 字符"/>
    <w:basedOn w:val="36"/>
    <w:link w:val="5"/>
    <w:qFormat/>
    <w:uiPriority w:val="0"/>
    <w:rPr>
      <w:rFonts w:ascii="Times New Roman" w:hAnsi="Times New Roman" w:eastAsia="宋体" w:cs="Times New Roman"/>
      <w:b/>
      <w:sz w:val="32"/>
      <w:szCs w:val="20"/>
    </w:rPr>
  </w:style>
  <w:style w:type="character" w:customStyle="1" w:styleId="47">
    <w:name w:val="标题 4 字符"/>
    <w:basedOn w:val="36"/>
    <w:link w:val="7"/>
    <w:qFormat/>
    <w:uiPriority w:val="0"/>
    <w:rPr>
      <w:rFonts w:ascii="Arial" w:hAnsi="Arial" w:eastAsia="黑体" w:cs="Times New Roman"/>
      <w:b/>
      <w:bCs/>
      <w:sz w:val="28"/>
      <w:szCs w:val="28"/>
    </w:rPr>
  </w:style>
  <w:style w:type="character" w:customStyle="1" w:styleId="48">
    <w:name w:val="标题 5 字符"/>
    <w:basedOn w:val="36"/>
    <w:link w:val="8"/>
    <w:qFormat/>
    <w:uiPriority w:val="0"/>
    <w:rPr>
      <w:rFonts w:ascii="Times New Roman" w:hAnsi="Times New Roman" w:eastAsia="宋体" w:cs="Times New Roman"/>
      <w:b/>
      <w:bCs/>
      <w:sz w:val="28"/>
      <w:szCs w:val="28"/>
    </w:rPr>
  </w:style>
  <w:style w:type="character" w:customStyle="1" w:styleId="49">
    <w:name w:val="标题 6 字符"/>
    <w:basedOn w:val="36"/>
    <w:link w:val="9"/>
    <w:qFormat/>
    <w:uiPriority w:val="0"/>
    <w:rPr>
      <w:rFonts w:ascii="Arial" w:hAnsi="Arial" w:eastAsia="黑体" w:cs="Times New Roman"/>
      <w:b/>
      <w:bCs/>
      <w:sz w:val="24"/>
      <w:szCs w:val="24"/>
    </w:rPr>
  </w:style>
  <w:style w:type="character" w:customStyle="1" w:styleId="50">
    <w:name w:val="标题 7 字符"/>
    <w:basedOn w:val="36"/>
    <w:link w:val="10"/>
    <w:qFormat/>
    <w:uiPriority w:val="0"/>
    <w:rPr>
      <w:rFonts w:ascii="Times New Roman" w:hAnsi="Times New Roman" w:eastAsia="宋体" w:cs="Times New Roman"/>
      <w:b/>
      <w:bCs/>
      <w:sz w:val="24"/>
      <w:szCs w:val="24"/>
    </w:rPr>
  </w:style>
  <w:style w:type="character" w:customStyle="1" w:styleId="51">
    <w:name w:val="标题 8 字符"/>
    <w:basedOn w:val="36"/>
    <w:link w:val="11"/>
    <w:qFormat/>
    <w:uiPriority w:val="0"/>
    <w:rPr>
      <w:rFonts w:ascii="Arial" w:hAnsi="Arial" w:eastAsia="黑体" w:cs="Times New Roman"/>
      <w:sz w:val="24"/>
      <w:szCs w:val="24"/>
    </w:rPr>
  </w:style>
  <w:style w:type="character" w:customStyle="1" w:styleId="52">
    <w:name w:val="标题 9 字符"/>
    <w:basedOn w:val="36"/>
    <w:link w:val="12"/>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6"/>
    <w:link w:val="19"/>
    <w:qFormat/>
    <w:uiPriority w:val="0"/>
    <w:rPr>
      <w:rFonts w:ascii="宋体" w:hAnsi="Courier New" w:eastAsia="宋体" w:cs="Times New Roman"/>
      <w:szCs w:val="20"/>
    </w:rPr>
  </w:style>
  <w:style w:type="character" w:customStyle="1" w:styleId="55">
    <w:name w:val="日期 字符"/>
    <w:basedOn w:val="36"/>
    <w:link w:val="20"/>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5"/>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6"/>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6"/>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6"/>
    <w:link w:val="16"/>
    <w:qFormat/>
    <w:uiPriority w:val="0"/>
    <w:rPr>
      <w:rFonts w:ascii="Times New Roman" w:hAnsi="Times New Roman" w:eastAsia="宋体" w:cs="Times New Roman"/>
      <w:szCs w:val="20"/>
    </w:rPr>
  </w:style>
  <w:style w:type="character" w:customStyle="1" w:styleId="106">
    <w:name w:val="正文文本缩进 字符"/>
    <w:basedOn w:val="36"/>
    <w:link w:val="17"/>
    <w:qFormat/>
    <w:uiPriority w:val="0"/>
    <w:rPr>
      <w:rFonts w:ascii="Times New Roman" w:hAnsi="Times New Roman" w:eastAsia="宋体" w:cs="Times New Roman"/>
      <w:szCs w:val="20"/>
    </w:rPr>
  </w:style>
  <w:style w:type="character" w:customStyle="1" w:styleId="107">
    <w:name w:val="副标题 字符"/>
    <w:basedOn w:val="36"/>
    <w:link w:val="25"/>
    <w:qFormat/>
    <w:uiPriority w:val="0"/>
    <w:rPr>
      <w:rFonts w:ascii="Arial" w:hAnsi="Arial" w:eastAsia="宋体" w:cs="Arial"/>
      <w:b/>
      <w:bCs/>
      <w:kern w:val="28"/>
      <w:sz w:val="32"/>
      <w:szCs w:val="32"/>
    </w:rPr>
  </w:style>
  <w:style w:type="character" w:customStyle="1" w:styleId="108">
    <w:name w:val="正文文本 2 字符"/>
    <w:basedOn w:val="36"/>
    <w:link w:val="28"/>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6"/>
    <w:link w:val="21"/>
    <w:qFormat/>
    <w:uiPriority w:val="0"/>
    <w:rPr>
      <w:rFonts w:ascii="华文仿宋" w:hAnsi="华文仿宋" w:eastAsia="华文仿宋" w:cs="Times New Roman"/>
      <w:sz w:val="32"/>
      <w:szCs w:val="20"/>
    </w:rPr>
  </w:style>
  <w:style w:type="character" w:customStyle="1" w:styleId="113">
    <w:name w:val="批注框文本 字符"/>
    <w:basedOn w:val="36"/>
    <w:link w:val="22"/>
    <w:semiHidden/>
    <w:qFormat/>
    <w:uiPriority w:val="0"/>
    <w:rPr>
      <w:rFonts w:ascii="Times New Roman" w:hAnsi="Times New Roman" w:eastAsia="宋体" w:cs="Times New Roman"/>
      <w:sz w:val="18"/>
      <w:szCs w:val="18"/>
    </w:rPr>
  </w:style>
  <w:style w:type="character" w:customStyle="1" w:styleId="114">
    <w:name w:val="正文文本缩进 3 字符"/>
    <w:basedOn w:val="36"/>
    <w:link w:val="27"/>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6"/>
    <w:link w:val="14"/>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6"/>
    <w:link w:val="31"/>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6"/>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6"/>
    <w:link w:val="15"/>
    <w:qFormat/>
    <w:uiPriority w:val="0"/>
    <w:rPr>
      <w:rFonts w:ascii="Times New Roman" w:hAnsi="Times New Roman" w:eastAsia="宋体" w:cs="Times New Roman"/>
      <w:sz w:val="48"/>
      <w:szCs w:val="48"/>
    </w:rPr>
  </w:style>
  <w:style w:type="character" w:customStyle="1" w:styleId="179">
    <w:name w:val="批注主题 字符"/>
    <w:basedOn w:val="128"/>
    <w:link w:val="32"/>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6"/>
    <w:semiHidden/>
    <w:qFormat/>
    <w:uiPriority w:val="99"/>
    <w:rPr>
      <w:rFonts w:ascii="Microsoft YaHei UI" w:eastAsia="Microsoft YaHei UI"/>
      <w:sz w:val="18"/>
      <w:szCs w:val="18"/>
    </w:rPr>
  </w:style>
  <w:style w:type="character" w:customStyle="1" w:styleId="204">
    <w:name w:val="文档结构图 字符1"/>
    <w:link w:val="13"/>
    <w:qFormat/>
    <w:uiPriority w:val="0"/>
    <w:rPr>
      <w:rFonts w:ascii="宋体" w:hAnsi="Times New Roman" w:eastAsia="宋体" w:cs="Times New Roman"/>
      <w:sz w:val="18"/>
      <w:szCs w:val="18"/>
    </w:rPr>
  </w:style>
  <w:style w:type="character" w:customStyle="1" w:styleId="205">
    <w:name w:val="HTML 预设格式 字符"/>
    <w:basedOn w:val="36"/>
    <w:semiHidden/>
    <w:qFormat/>
    <w:uiPriority w:val="99"/>
    <w:rPr>
      <w:rFonts w:ascii="Courier New" w:hAnsi="Courier New" w:cs="Courier New"/>
      <w:sz w:val="20"/>
      <w:szCs w:val="20"/>
    </w:rPr>
  </w:style>
  <w:style w:type="character" w:customStyle="1" w:styleId="206">
    <w:name w:val="HTML 预设格式 字符1"/>
    <w:link w:val="29"/>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6"/>
    <w:qFormat/>
    <w:uiPriority w:val="0"/>
    <w:rPr>
      <w:rFonts w:ascii="宋体" w:hAnsi="宋体" w:eastAsia="宋体" w:cs="宋体"/>
      <w:color w:val="000000"/>
      <w:sz w:val="46"/>
      <w:szCs w:val="46"/>
      <w:u w:val="none"/>
    </w:rPr>
  </w:style>
  <w:style w:type="character" w:customStyle="1" w:styleId="212">
    <w:name w:val="font71"/>
    <w:basedOn w:val="36"/>
    <w:qFormat/>
    <w:uiPriority w:val="0"/>
    <w:rPr>
      <w:rFonts w:ascii="宋体" w:hAnsi="宋体" w:eastAsia="宋体" w:cs="宋体"/>
      <w:color w:val="003641"/>
      <w:sz w:val="46"/>
      <w:szCs w:val="46"/>
      <w:u w:val="none"/>
    </w:rPr>
  </w:style>
  <w:style w:type="character" w:customStyle="1" w:styleId="213">
    <w:name w:val="font81"/>
    <w:basedOn w:val="36"/>
    <w:qFormat/>
    <w:uiPriority w:val="0"/>
    <w:rPr>
      <w:rFonts w:ascii="宋体" w:hAnsi="宋体" w:eastAsia="宋体" w:cs="宋体"/>
      <w:color w:val="002F34"/>
      <w:sz w:val="46"/>
      <w:szCs w:val="46"/>
      <w:u w:val="none"/>
    </w:rPr>
  </w:style>
  <w:style w:type="character" w:customStyle="1" w:styleId="214">
    <w:name w:val="font41"/>
    <w:basedOn w:val="36"/>
    <w:qFormat/>
    <w:uiPriority w:val="0"/>
    <w:rPr>
      <w:rFonts w:ascii="宋体" w:hAnsi="宋体" w:eastAsia="宋体" w:cs="宋体"/>
      <w:color w:val="002F38"/>
      <w:sz w:val="46"/>
      <w:szCs w:val="46"/>
      <w:u w:val="none"/>
    </w:rPr>
  </w:style>
  <w:style w:type="character" w:customStyle="1" w:styleId="215">
    <w:name w:val="font101"/>
    <w:basedOn w:val="36"/>
    <w:qFormat/>
    <w:uiPriority w:val="0"/>
    <w:rPr>
      <w:rFonts w:ascii="宋体" w:hAnsi="宋体" w:eastAsia="宋体" w:cs="宋体"/>
      <w:color w:val="003644"/>
      <w:sz w:val="46"/>
      <w:szCs w:val="46"/>
      <w:u w:val="none"/>
    </w:rPr>
  </w:style>
  <w:style w:type="character" w:customStyle="1" w:styleId="216">
    <w:name w:val="font112"/>
    <w:basedOn w:val="36"/>
    <w:qFormat/>
    <w:uiPriority w:val="0"/>
    <w:rPr>
      <w:rFonts w:ascii="宋体" w:hAnsi="宋体" w:eastAsia="宋体" w:cs="宋体"/>
      <w:color w:val="003B44"/>
      <w:sz w:val="46"/>
      <w:szCs w:val="46"/>
      <w:u w:val="none"/>
    </w:rPr>
  </w:style>
  <w:style w:type="character" w:customStyle="1" w:styleId="217">
    <w:name w:val="font121"/>
    <w:basedOn w:val="36"/>
    <w:qFormat/>
    <w:uiPriority w:val="0"/>
    <w:rPr>
      <w:rFonts w:ascii="宋体" w:hAnsi="宋体" w:eastAsia="宋体" w:cs="宋体"/>
      <w:color w:val="003136"/>
      <w:sz w:val="46"/>
      <w:szCs w:val="46"/>
      <w:u w:val="none"/>
    </w:rPr>
  </w:style>
  <w:style w:type="character" w:customStyle="1" w:styleId="218">
    <w:name w:val="font131"/>
    <w:basedOn w:val="36"/>
    <w:qFormat/>
    <w:uiPriority w:val="0"/>
    <w:rPr>
      <w:rFonts w:ascii="宋体" w:hAnsi="宋体" w:eastAsia="宋体" w:cs="宋体"/>
      <w:color w:val="003137"/>
      <w:sz w:val="46"/>
      <w:szCs w:val="46"/>
      <w:u w:val="none"/>
    </w:rPr>
  </w:style>
  <w:style w:type="character" w:customStyle="1" w:styleId="219">
    <w:name w:val="font141"/>
    <w:basedOn w:val="36"/>
    <w:qFormat/>
    <w:uiPriority w:val="0"/>
    <w:rPr>
      <w:rFonts w:ascii="宋体" w:hAnsi="宋体" w:eastAsia="宋体" w:cs="宋体"/>
      <w:color w:val="003E45"/>
      <w:sz w:val="46"/>
      <w:szCs w:val="46"/>
      <w:u w:val="none"/>
    </w:rPr>
  </w:style>
  <w:style w:type="character" w:customStyle="1" w:styleId="220">
    <w:name w:val="font151"/>
    <w:basedOn w:val="36"/>
    <w:qFormat/>
    <w:uiPriority w:val="0"/>
    <w:rPr>
      <w:rFonts w:ascii="宋体" w:hAnsi="宋体" w:eastAsia="宋体" w:cs="宋体"/>
      <w:color w:val="003540"/>
      <w:sz w:val="46"/>
      <w:szCs w:val="46"/>
      <w:u w:val="none"/>
    </w:rPr>
  </w:style>
  <w:style w:type="character" w:customStyle="1" w:styleId="221">
    <w:name w:val="font61"/>
    <w:basedOn w:val="36"/>
    <w:qFormat/>
    <w:uiPriority w:val="0"/>
    <w:rPr>
      <w:rFonts w:ascii="宋体" w:hAnsi="宋体" w:eastAsia="宋体" w:cs="宋体"/>
      <w:color w:val="003C43"/>
      <w:sz w:val="46"/>
      <w:szCs w:val="46"/>
      <w:u w:val="none"/>
    </w:rPr>
  </w:style>
  <w:style w:type="character" w:customStyle="1" w:styleId="222">
    <w:name w:val="font91"/>
    <w:basedOn w:val="36"/>
    <w:qFormat/>
    <w:uiPriority w:val="0"/>
    <w:rPr>
      <w:rFonts w:ascii="宋体" w:hAnsi="宋体" w:eastAsia="宋体" w:cs="宋体"/>
      <w:color w:val="00353B"/>
      <w:sz w:val="46"/>
      <w:szCs w:val="46"/>
      <w:u w:val="none"/>
    </w:rPr>
  </w:style>
  <w:style w:type="character" w:customStyle="1" w:styleId="223">
    <w:name w:val="font161"/>
    <w:basedOn w:val="36"/>
    <w:qFormat/>
    <w:uiPriority w:val="0"/>
    <w:rPr>
      <w:rFonts w:ascii="宋体" w:hAnsi="宋体" w:eastAsia="宋体" w:cs="宋体"/>
      <w:color w:val="00393F"/>
      <w:sz w:val="46"/>
      <w:szCs w:val="46"/>
      <w:u w:val="none"/>
    </w:rPr>
  </w:style>
  <w:style w:type="character" w:customStyle="1" w:styleId="224">
    <w:name w:val="font171"/>
    <w:basedOn w:val="36"/>
    <w:qFormat/>
    <w:uiPriority w:val="0"/>
    <w:rPr>
      <w:rFonts w:ascii="宋体" w:hAnsi="宋体" w:eastAsia="宋体" w:cs="宋体"/>
      <w:color w:val="003A41"/>
      <w:sz w:val="46"/>
      <w:szCs w:val="46"/>
      <w:u w:val="none"/>
    </w:rPr>
  </w:style>
  <w:style w:type="character" w:customStyle="1" w:styleId="225">
    <w:name w:val="font181"/>
    <w:basedOn w:val="36"/>
    <w:qFormat/>
    <w:uiPriority w:val="0"/>
    <w:rPr>
      <w:rFonts w:ascii="宋体" w:hAnsi="宋体" w:eastAsia="宋体" w:cs="宋体"/>
      <w:color w:val="003238"/>
      <w:sz w:val="46"/>
      <w:szCs w:val="46"/>
      <w:u w:val="none"/>
    </w:rPr>
  </w:style>
  <w:style w:type="character" w:customStyle="1" w:styleId="226">
    <w:name w:val="font191"/>
    <w:basedOn w:val="36"/>
    <w:qFormat/>
    <w:uiPriority w:val="0"/>
    <w:rPr>
      <w:rFonts w:ascii="宋体" w:hAnsi="宋体" w:eastAsia="宋体" w:cs="宋体"/>
      <w:color w:val="002F2F"/>
      <w:sz w:val="46"/>
      <w:szCs w:val="46"/>
      <w:u w:val="none"/>
    </w:rPr>
  </w:style>
  <w:style w:type="character" w:customStyle="1" w:styleId="227">
    <w:name w:val="font201"/>
    <w:basedOn w:val="36"/>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7654</Words>
  <Characters>8319</Characters>
  <Lines>76</Lines>
  <Paragraphs>21</Paragraphs>
  <TotalTime>0</TotalTime>
  <ScaleCrop>false</ScaleCrop>
  <LinksUpToDate>false</LinksUpToDate>
  <CharactersWithSpaces>8447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2023-08-28T04:24:51Z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F52D24A478984F87A5CFA8D6073A2D72_13</vt:lpwstr>
  </property>
</Properties>
</file>