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上海市中医医院</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52"/>
          <w:szCs w:val="52"/>
          <w:highlight w:val="none"/>
        </w:rPr>
      </w:pPr>
      <w:r>
        <w:rPr>
          <w:rFonts w:hint="eastAsia" w:ascii="宋体" w:hAnsi="宋体" w:eastAsia="宋体" w:cs="Times New Roman"/>
          <w:b/>
          <w:sz w:val="52"/>
          <w:szCs w:val="52"/>
          <w:highlight w:val="none"/>
          <w:lang w:val="en-US" w:eastAsia="zh-CN"/>
        </w:rPr>
        <w:t>总免疫球蛋白E检测等试剂</w:t>
      </w:r>
      <w:r>
        <w:rPr>
          <w:rFonts w:hint="eastAsia" w:ascii="宋体" w:hAnsi="宋体" w:eastAsia="宋体" w:cs="Times New Roman"/>
          <w:b/>
          <w:sz w:val="52"/>
          <w:szCs w:val="52"/>
          <w:highlight w:val="none"/>
        </w:rPr>
        <w:t>项目</w:t>
      </w: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询价通知书</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3</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12</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12</w:t>
      </w:r>
      <w:r>
        <w:rPr>
          <w:rFonts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3</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0</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hint="eastAsia" w:ascii="Calibri" w:hAnsi="Calibri" w:eastAsia="华文仿宋" w:cs="Times New Roman"/>
          <w:lang w:eastAsia="zh-C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_Toc11326096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w:t>
      </w:r>
      <w:r>
        <w:rPr>
          <w:rFonts w:hint="eastAsia" w:ascii="Times New Roman" w:hAnsi="Times New Roman" w:eastAsia="华文仿宋" w:cs="Times New Roman"/>
          <w:b/>
          <w:sz w:val="24"/>
          <w:szCs w:val="36"/>
          <w:lang w:val="en-US" w:eastAsia="zh-CN"/>
        </w:rPr>
        <w:t>3</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lang w:val="en-US" w:eastAsia="zh-CN"/>
        </w:rPr>
        <w:t>4</w:t>
      </w:r>
      <w:r>
        <w:rPr>
          <w:rFonts w:hint="eastAsia" w:ascii="Times New Roman" w:hAnsi="Times New Roman" w:eastAsia="华文仿宋" w:cs="Times New Roman"/>
          <w:b/>
          <w:sz w:val="24"/>
          <w:szCs w:val="36"/>
        </w:rPr>
        <w:fldChar w:fldCharType="end"/>
      </w:r>
    </w:p>
    <w:p>
      <w:pPr>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OLE_LINK11"/>
      <w:bookmarkStart w:id="3" w:name="OLE_LINK16"/>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询价邀请</w:t>
      </w:r>
    </w:p>
    <w:p>
      <w:pPr>
        <w:spacing w:line="360" w:lineRule="auto"/>
        <w:ind w:left="425" w:hanging="424" w:hangingChars="177"/>
        <w:rPr>
          <w:rFonts w:ascii="宋体" w:hAnsi="宋体" w:eastAsia="宋体" w:cs="Times New Roman"/>
          <w:sz w:val="24"/>
          <w:szCs w:val="24"/>
        </w:rPr>
      </w:pPr>
      <w:bookmarkStart w:id="4" w:name="_Toc461613077"/>
      <w:bookmarkStart w:id="5" w:name="_Toc461613005"/>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hint="eastAsia"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lang w:val="en-US" w:eastAsia="zh-CN"/>
        </w:rPr>
        <w:t>项目</w:t>
      </w:r>
      <w:r>
        <w:rPr>
          <w:rFonts w:hint="eastAsia" w:ascii="宋体" w:hAnsi="宋体" w:eastAsia="宋体" w:cs="宋体"/>
          <w:kern w:val="0"/>
          <w:sz w:val="24"/>
          <w:szCs w:val="24"/>
        </w:rPr>
        <w:t>名称：</w:t>
      </w:r>
      <w:bookmarkEnd w:id="4"/>
      <w:bookmarkEnd w:id="5"/>
    </w:p>
    <w:p>
      <w:pPr>
        <w:autoSpaceDE w:val="0"/>
        <w:autoSpaceDN w:val="0"/>
        <w:spacing w:line="360" w:lineRule="auto"/>
        <w:ind w:left="360" w:firstLine="1020" w:firstLineChars="425"/>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包件一：总免疫球蛋白E检测</w:t>
      </w:r>
    </w:p>
    <w:p>
      <w:pPr>
        <w:autoSpaceDE w:val="0"/>
        <w:autoSpaceDN w:val="0"/>
        <w:spacing w:line="360" w:lineRule="auto"/>
        <w:ind w:left="360" w:firstLine="1020" w:firstLineChars="425"/>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包件二：К轻链检测试剂</w:t>
      </w:r>
    </w:p>
    <w:p>
      <w:pPr>
        <w:autoSpaceDE w:val="0"/>
        <w:autoSpaceDN w:val="0"/>
        <w:spacing w:line="360" w:lineRule="auto"/>
        <w:ind w:left="360" w:firstLine="1020" w:firstLineChars="425"/>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包件三：λ轻链检测试剂</w:t>
      </w:r>
    </w:p>
    <w:p>
      <w:pPr>
        <w:autoSpaceDE w:val="0"/>
        <w:autoSpaceDN w:val="0"/>
        <w:spacing w:line="360" w:lineRule="auto"/>
        <w:ind w:left="360" w:firstLine="1020" w:firstLineChars="425"/>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包件四：游离脂肪酸测定试剂盒</w:t>
      </w:r>
    </w:p>
    <w:p>
      <w:pPr>
        <w:autoSpaceDE w:val="0"/>
        <w:autoSpaceDN w:val="0"/>
        <w:spacing w:line="360" w:lineRule="auto"/>
        <w:ind w:left="360" w:firstLine="1020" w:firstLineChars="425"/>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包件五：胱抑素C测定试剂</w:t>
      </w:r>
    </w:p>
    <w:p>
      <w:pPr>
        <w:autoSpaceDE w:val="0"/>
        <w:autoSpaceDN w:val="0"/>
        <w:spacing w:line="360" w:lineRule="auto"/>
        <w:ind w:left="360" w:firstLine="1020" w:firstLineChars="425"/>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包件六：同型半胱氨酸测定试剂盒</w:t>
      </w:r>
    </w:p>
    <w:p>
      <w:pPr>
        <w:autoSpaceDE w:val="0"/>
        <w:autoSpaceDN w:val="0"/>
        <w:spacing w:line="360" w:lineRule="auto"/>
        <w:ind w:left="360" w:firstLine="64" w:firstLineChars="27"/>
        <w:rPr>
          <w:rFonts w:hint="eastAsia" w:ascii="宋体" w:hAnsi="宋体" w:eastAsia="宋体" w:cs="宋体"/>
          <w:kern w:val="0"/>
          <w:sz w:val="24"/>
          <w:szCs w:val="24"/>
          <w:highlight w:val="none"/>
        </w:rPr>
      </w:pPr>
      <w:r>
        <w:rPr>
          <w:rFonts w:hint="eastAsia" w:ascii="宋体" w:hAnsi="宋体" w:eastAsia="宋体" w:cs="宋体"/>
          <w:kern w:val="0"/>
          <w:sz w:val="24"/>
          <w:szCs w:val="24"/>
        </w:rPr>
        <w:t>（</w:t>
      </w:r>
      <w:r>
        <w:rPr>
          <w:rFonts w:hint="eastAsia" w:ascii="Times New Roman" w:hAnsi="Times New Roman" w:eastAsia="宋体" w:cs="宋体"/>
          <w:kern w:val="0"/>
          <w:sz w:val="24"/>
          <w:szCs w:val="24"/>
          <w:lang w:val="en-US" w:eastAsia="zh-CN"/>
        </w:rPr>
        <w:t>2</w:t>
      </w:r>
      <w:r>
        <w:rPr>
          <w:rFonts w:hint="eastAsia" w:ascii="宋体" w:hAnsi="宋体" w:eastAsia="宋体" w:cs="宋体"/>
          <w:kern w:val="0"/>
          <w:sz w:val="24"/>
          <w:szCs w:val="24"/>
        </w:rPr>
        <w:t>）技术要求：见</w:t>
      </w:r>
      <w:r>
        <w:rPr>
          <w:rFonts w:hint="eastAsia" w:ascii="宋体" w:hAnsi="宋体" w:eastAsia="宋体" w:cs="宋体"/>
          <w:kern w:val="0"/>
          <w:sz w:val="24"/>
          <w:szCs w:val="24"/>
          <w:highlight w:val="none"/>
        </w:rPr>
        <w:t>本询价通知书第四章“货物需求一览表及技术规格</w:t>
      </w:r>
    </w:p>
    <w:p>
      <w:pPr>
        <w:spacing w:line="360" w:lineRule="auto"/>
        <w:ind w:left="425" w:hanging="424" w:hangingChars="177"/>
        <w:rPr>
          <w:rFonts w:ascii="宋体" w:hAnsi="宋体" w:eastAsia="宋体" w:cs="Times New Roman"/>
          <w:sz w:val="24"/>
          <w:szCs w:val="24"/>
          <w:highlight w:val="none"/>
        </w:rPr>
      </w:pPr>
      <w:bookmarkStart w:id="6" w:name="_Toc461613012"/>
      <w:bookmarkStart w:id="7" w:name="_Toc461613084"/>
      <w:r>
        <w:rPr>
          <w:rFonts w:ascii="Times New Roman" w:hAnsi="Times New Roman" w:eastAsia="宋体" w:cs="Times New Roman"/>
          <w:sz w:val="24"/>
          <w:szCs w:val="24"/>
          <w:highlight w:val="none"/>
        </w:rPr>
        <w:t>2</w:t>
      </w:r>
      <w:r>
        <w:rPr>
          <w:rFonts w:hint="eastAsia" w:ascii="宋体" w:hAnsi="宋体" w:eastAsia="宋体" w:cs="Times New Roman"/>
          <w:sz w:val="24"/>
          <w:szCs w:val="24"/>
          <w:highlight w:val="none"/>
        </w:rPr>
        <w:t>、有兴趣的合格潜在供应商请于</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12</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12</w:t>
      </w:r>
      <w:r>
        <w:rPr>
          <w:rFonts w:hint="eastAsia" w:ascii="宋体" w:hAnsi="宋体" w:eastAsia="宋体" w:cs="Times New Roman"/>
          <w:sz w:val="24"/>
          <w:szCs w:val="24"/>
          <w:highlight w:val="none"/>
        </w:rPr>
        <w:t>日起至</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12</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15</w:t>
      </w:r>
      <w:r>
        <w:rPr>
          <w:rFonts w:hint="eastAsia" w:ascii="宋体" w:hAnsi="宋体" w:eastAsia="宋体" w:cs="Times New Roman"/>
          <w:sz w:val="24"/>
          <w:szCs w:val="24"/>
          <w:highlight w:val="none"/>
        </w:rPr>
        <w:t>日止（星期六、日和节假日除外）</w:t>
      </w:r>
      <w:r>
        <w:rPr>
          <w:rFonts w:hint="eastAsia" w:ascii="宋体" w:hAnsi="宋体" w:eastAsia="宋体"/>
          <w:sz w:val="24"/>
          <w:szCs w:val="24"/>
          <w:highlight w:val="none"/>
        </w:rPr>
        <w:t>自行前往我院官网（</w:t>
      </w:r>
      <w:r>
        <w:rPr>
          <w:highlight w:val="none"/>
        </w:rPr>
        <w:fldChar w:fldCharType="begin"/>
      </w:r>
      <w:r>
        <w:rPr>
          <w:highlight w:val="none"/>
        </w:rPr>
        <w:instrText xml:space="preserve"> HYPERLINK "https://www.szy.sh.cn/" </w:instrText>
      </w:r>
      <w:r>
        <w:rPr>
          <w:highlight w:val="none"/>
        </w:rPr>
        <w:fldChar w:fldCharType="separate"/>
      </w:r>
      <w:r>
        <w:rPr>
          <w:rStyle w:val="37"/>
          <w:rFonts w:ascii="Times New Roman" w:hAnsi="Times New Roman" w:eastAsia="宋体"/>
          <w:sz w:val="24"/>
          <w:szCs w:val="24"/>
          <w:highlight w:val="none"/>
        </w:rPr>
        <w:t>https</w:t>
      </w:r>
      <w:r>
        <w:rPr>
          <w:rStyle w:val="37"/>
          <w:rFonts w:ascii="宋体" w:hAnsi="宋体" w:eastAsia="宋体"/>
          <w:sz w:val="24"/>
          <w:szCs w:val="24"/>
          <w:highlight w:val="none"/>
        </w:rPr>
        <w:t>://</w:t>
      </w:r>
      <w:r>
        <w:rPr>
          <w:rStyle w:val="37"/>
          <w:rFonts w:ascii="Times New Roman" w:hAnsi="Times New Roman" w:eastAsia="宋体"/>
          <w:sz w:val="24"/>
          <w:szCs w:val="24"/>
          <w:highlight w:val="none"/>
        </w:rPr>
        <w:t>www</w:t>
      </w:r>
      <w:r>
        <w:rPr>
          <w:rStyle w:val="37"/>
          <w:rFonts w:ascii="宋体" w:hAnsi="宋体" w:eastAsia="宋体"/>
          <w:sz w:val="24"/>
          <w:szCs w:val="24"/>
          <w:highlight w:val="none"/>
        </w:rPr>
        <w:t>.</w:t>
      </w:r>
      <w:r>
        <w:rPr>
          <w:rStyle w:val="37"/>
          <w:rFonts w:ascii="Times New Roman" w:hAnsi="Times New Roman" w:eastAsia="宋体"/>
          <w:sz w:val="24"/>
          <w:szCs w:val="24"/>
          <w:highlight w:val="none"/>
        </w:rPr>
        <w:t>szy</w:t>
      </w:r>
      <w:r>
        <w:rPr>
          <w:rStyle w:val="37"/>
          <w:rFonts w:ascii="宋体" w:hAnsi="宋体" w:eastAsia="宋体"/>
          <w:sz w:val="24"/>
          <w:szCs w:val="24"/>
          <w:highlight w:val="none"/>
        </w:rPr>
        <w:t>.</w:t>
      </w:r>
      <w:r>
        <w:rPr>
          <w:rStyle w:val="37"/>
          <w:rFonts w:ascii="Times New Roman" w:hAnsi="Times New Roman" w:eastAsia="宋体"/>
          <w:sz w:val="24"/>
          <w:szCs w:val="24"/>
          <w:highlight w:val="none"/>
        </w:rPr>
        <w:t>sh</w:t>
      </w:r>
      <w:r>
        <w:rPr>
          <w:rStyle w:val="37"/>
          <w:rFonts w:ascii="宋体" w:hAnsi="宋体" w:eastAsia="宋体"/>
          <w:sz w:val="24"/>
          <w:szCs w:val="24"/>
          <w:highlight w:val="none"/>
        </w:rPr>
        <w:t>.</w:t>
      </w:r>
      <w:r>
        <w:rPr>
          <w:rStyle w:val="37"/>
          <w:rFonts w:ascii="Times New Roman" w:hAnsi="Times New Roman" w:eastAsia="宋体"/>
          <w:sz w:val="24"/>
          <w:szCs w:val="24"/>
          <w:highlight w:val="none"/>
        </w:rPr>
        <w:t>cn</w:t>
      </w:r>
      <w:r>
        <w:rPr>
          <w:rStyle w:val="37"/>
          <w:rFonts w:ascii="宋体" w:hAnsi="宋体" w:eastAsia="宋体"/>
          <w:sz w:val="24"/>
          <w:szCs w:val="24"/>
          <w:highlight w:val="none"/>
        </w:rPr>
        <w:t>/</w:t>
      </w:r>
      <w:r>
        <w:rPr>
          <w:rStyle w:val="37"/>
          <w:rFonts w:ascii="宋体" w:hAnsi="宋体" w:eastAsia="宋体"/>
          <w:sz w:val="24"/>
          <w:szCs w:val="24"/>
          <w:highlight w:val="none"/>
        </w:rPr>
        <w:fldChar w:fldCharType="end"/>
      </w:r>
      <w:r>
        <w:rPr>
          <w:rFonts w:hint="eastAsia" w:ascii="宋体" w:hAnsi="宋体" w:eastAsia="宋体"/>
          <w:sz w:val="24"/>
          <w:szCs w:val="24"/>
          <w:highlight w:val="none"/>
        </w:rPr>
        <w:t>）通知栏下载</w:t>
      </w:r>
      <w:r>
        <w:rPr>
          <w:rFonts w:hint="eastAsia" w:ascii="宋体" w:hAnsi="宋体" w:eastAsia="宋体" w:cs="Times New Roman"/>
          <w:sz w:val="24"/>
          <w:szCs w:val="24"/>
          <w:highlight w:val="none"/>
        </w:rPr>
        <w:t>。</w:t>
      </w:r>
    </w:p>
    <w:p>
      <w:pPr>
        <w:spacing w:line="360" w:lineRule="auto"/>
        <w:ind w:left="425" w:hanging="424" w:hangingChars="177"/>
        <w:rPr>
          <w:rFonts w:ascii="Times New Roman" w:hAnsi="Times New Roman" w:eastAsia="宋体" w:cs="宋体"/>
          <w:color w:val="000000" w:themeColor="text1"/>
          <w:kern w:val="0"/>
          <w:sz w:val="24"/>
          <w:szCs w:val="24"/>
          <w:highlight w:val="none"/>
          <w14:textFill>
            <w14:solidFill>
              <w14:schemeClr w14:val="tx1"/>
            </w14:solidFill>
          </w14:textFill>
        </w:rPr>
      </w:pPr>
      <w:r>
        <w:rPr>
          <w:rFonts w:hint="eastAsia" w:ascii="Times New Roman" w:hAnsi="Times New Roman" w:eastAsia="宋体" w:cs="Times New Roman"/>
          <w:sz w:val="24"/>
          <w:szCs w:val="24"/>
          <w:highlight w:val="none"/>
        </w:rPr>
        <w:t>3</w:t>
      </w:r>
      <w:r>
        <w:rPr>
          <w:rFonts w:hint="eastAsia" w:ascii="宋体" w:hAnsi="宋体" w:eastAsia="宋体" w:cs="Times New Roman"/>
          <w:sz w:val="24"/>
          <w:szCs w:val="24"/>
          <w:highlight w:val="none"/>
        </w:rPr>
        <w:t>、报名及截止时间：</w:t>
      </w:r>
      <w:r>
        <w:rPr>
          <w:rFonts w:hint="eastAsia" w:ascii="Times New Roman" w:hAnsi="Times New Roman" w:eastAsia="宋体" w:cs="宋体"/>
          <w:color w:val="000000" w:themeColor="text1"/>
          <w:kern w:val="0"/>
          <w:sz w:val="24"/>
          <w:szCs w:val="24"/>
          <w:highlight w:val="none"/>
          <w14:textFill>
            <w14:solidFill>
              <w14:schemeClr w14:val="tx1"/>
            </w14:solidFill>
          </w14:textFill>
        </w:rPr>
        <w:t>2023年</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12</w:t>
      </w:r>
      <w:r>
        <w:rPr>
          <w:rFonts w:hint="eastAsia" w:ascii="Times New Roman" w:hAnsi="Times New Roman" w:eastAsia="宋体" w:cs="宋体"/>
          <w:color w:val="000000" w:themeColor="text1"/>
          <w:kern w:val="0"/>
          <w:sz w:val="24"/>
          <w:szCs w:val="24"/>
          <w:highlight w:val="none"/>
          <w14:textFill>
            <w14:solidFill>
              <w14:schemeClr w14:val="tx1"/>
            </w14:solidFill>
          </w14:textFill>
        </w:rPr>
        <w:t>月</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15</w:t>
      </w:r>
      <w:r>
        <w:rPr>
          <w:rFonts w:hint="eastAsia" w:ascii="Times New Roman" w:hAnsi="Times New Roman" w:eastAsia="宋体" w:cs="宋体"/>
          <w:color w:val="000000" w:themeColor="text1"/>
          <w:kern w:val="0"/>
          <w:sz w:val="24"/>
          <w:szCs w:val="24"/>
          <w:highlight w:val="none"/>
          <w14:textFill>
            <w14:solidFill>
              <w14:schemeClr w14:val="tx1"/>
            </w14:solidFill>
          </w14:textFill>
        </w:rPr>
        <w:t>日北京时间1</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6</w:t>
      </w:r>
      <w:r>
        <w:rPr>
          <w:rFonts w:ascii="宋体" w:hAnsi="宋体" w:eastAsia="宋体" w:cs="Times New Roman"/>
          <w:sz w:val="24"/>
          <w:szCs w:val="24"/>
          <w:highlight w:val="none"/>
        </w:rPr>
        <w:t>:</w:t>
      </w:r>
      <w:r>
        <w:rPr>
          <w:rFonts w:hint="eastAsia" w:ascii="Times New Roman" w:hAnsi="Times New Roman" w:eastAsia="宋体" w:cs="宋体"/>
          <w:color w:val="000000" w:themeColor="text1"/>
          <w:kern w:val="0"/>
          <w:sz w:val="24"/>
          <w:szCs w:val="24"/>
          <w:highlight w:val="none"/>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highlight w:val="none"/>
        </w:rPr>
      </w:pPr>
      <w:r>
        <w:rPr>
          <w:rFonts w:hint="eastAsia" w:ascii="Times New Roman" w:hAnsi="Times New Roman"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Times New Roman"/>
          <w:sz w:val="24"/>
          <w:szCs w:val="24"/>
          <w:highlight w:val="none"/>
        </w:rPr>
        <w:t>递交文件截止时间、地点及要求：</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截止时间：</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12</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20</w:t>
      </w:r>
      <w:r>
        <w:rPr>
          <w:rFonts w:hint="eastAsia" w:ascii="宋体" w:hAnsi="宋体" w:eastAsia="宋体" w:cs="Times New Roman"/>
          <w:sz w:val="24"/>
          <w:szCs w:val="24"/>
          <w:highlight w:val="none"/>
        </w:rPr>
        <w:t>日北京时间</w:t>
      </w:r>
      <w:r>
        <w:rPr>
          <w:rFonts w:hint="eastAsia" w:ascii="Times New Roman" w:hAnsi="Times New Roman" w:eastAsia="宋体" w:cs="Times New Roman"/>
          <w:sz w:val="24"/>
          <w:szCs w:val="24"/>
          <w:highlight w:val="none"/>
        </w:rPr>
        <w:t>10</w:t>
      </w:r>
      <w:r>
        <w:rPr>
          <w:rFonts w:ascii="宋体" w:hAnsi="宋体" w:eastAsia="宋体" w:cs="Times New Roman"/>
          <w:sz w:val="24"/>
          <w:szCs w:val="24"/>
          <w:highlight w:val="none"/>
        </w:rPr>
        <w:t>:</w:t>
      </w:r>
      <w:r>
        <w:rPr>
          <w:rFonts w:hint="eastAsia" w:ascii="Times New Roman" w:hAnsi="Times New Roman" w:eastAsia="宋体" w:cs="Times New Roman"/>
          <w:sz w:val="24"/>
          <w:szCs w:val="24"/>
          <w:highlight w:val="none"/>
          <w:lang w:val="en-US" w:eastAsia="zh-CN"/>
        </w:rPr>
        <w:t>0</w:t>
      </w:r>
      <w:r>
        <w:rPr>
          <w:rFonts w:hint="eastAsia" w:ascii="Times New Roman" w:hAnsi="Times New Roman" w:eastAsia="宋体" w:cs="Times New Roman"/>
          <w:sz w:val="24"/>
          <w:szCs w:val="24"/>
          <w:highlight w:val="none"/>
        </w:rPr>
        <w:t>0</w:t>
      </w:r>
    </w:p>
    <w:p>
      <w:pPr>
        <w:spacing w:line="360" w:lineRule="auto"/>
        <w:ind w:left="423" w:leftChars="114" w:hanging="184" w:hangingChars="77"/>
        <w:rPr>
          <w:rFonts w:ascii="宋体" w:hAnsi="宋体" w:eastAsia="宋体" w:cs="Times New Roman"/>
          <w:sz w:val="24"/>
          <w:szCs w:val="24"/>
        </w:rPr>
      </w:pPr>
      <w:r>
        <w:rPr>
          <w:rFonts w:hint="eastAsia" w:ascii="宋体" w:hAnsi="宋体" w:eastAsia="宋体" w:cs="Times New Roman"/>
          <w:sz w:val="24"/>
          <w:szCs w:val="24"/>
        </w:rPr>
        <w:t>地点：中国上海市静安区芷江中路</w:t>
      </w:r>
      <w:r>
        <w:rPr>
          <w:rFonts w:hint="eastAsia" w:ascii="Times New Roman" w:hAnsi="Times New Roman" w:eastAsia="宋体" w:cs="Times New Roman"/>
          <w:sz w:val="24"/>
          <w:szCs w:val="24"/>
        </w:rPr>
        <w:t>274</w:t>
      </w:r>
      <w:r>
        <w:rPr>
          <w:rFonts w:hint="eastAsia" w:ascii="宋体" w:hAnsi="宋体" w:eastAsia="宋体" w:cs="Times New Roman"/>
          <w:sz w:val="24"/>
          <w:szCs w:val="24"/>
        </w:rPr>
        <w:t>号上海市中医医院采购处</w:t>
      </w:r>
    </w:p>
    <w:bookmarkEnd w:id="6"/>
    <w:bookmarkEnd w:id="7"/>
    <w:p>
      <w:pPr>
        <w:autoSpaceDE w:val="0"/>
        <w:autoSpaceDN w:val="0"/>
        <w:spacing w:line="360" w:lineRule="auto"/>
        <w:rPr>
          <w:rFonts w:ascii="宋体" w:hAnsi="宋体" w:eastAsia="宋体" w:cs="宋体"/>
          <w:kern w:val="0"/>
          <w:sz w:val="24"/>
          <w:szCs w:val="24"/>
        </w:rPr>
      </w:pPr>
      <w:r>
        <w:rPr>
          <w:rFonts w:hint="eastAsia" w:ascii="宋体" w:hAnsi="宋体" w:eastAsia="宋体" w:cs="宋体"/>
          <w:kern w:val="0"/>
          <w:sz w:val="24"/>
          <w:szCs w:val="24"/>
        </w:rPr>
        <w:t>5.采购人信息</w:t>
      </w:r>
    </w:p>
    <w:bookmarkEnd w:id="2"/>
    <w:bookmarkEnd w:id="3"/>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jc w:val="left"/>
        <w:rPr>
          <w:rFonts w:hint="default" w:ascii="宋体" w:hAnsi="宋体" w:eastAsia="宋体" w:cs="Times New Roman"/>
          <w:sz w:val="24"/>
          <w:szCs w:val="20"/>
          <w:lang w:val="en-US" w:eastAsia="zh-CN"/>
        </w:rPr>
      </w:pPr>
      <w:r>
        <w:rPr>
          <w:rFonts w:hint="eastAsia" w:ascii="宋体" w:hAnsi="宋体" w:eastAsia="宋体" w:cs="Times New Roman"/>
          <w:sz w:val="24"/>
          <w:szCs w:val="20"/>
        </w:rPr>
        <w:t>邮编：</w:t>
      </w:r>
      <w:r>
        <w:rPr>
          <w:rFonts w:ascii="宋体" w:hAnsi="宋体" w:eastAsia="宋体" w:cs="Times New Roman"/>
          <w:sz w:val="24"/>
          <w:szCs w:val="20"/>
        </w:rPr>
        <w:t>2000</w:t>
      </w:r>
      <w:r>
        <w:rPr>
          <w:rFonts w:hint="eastAsia" w:ascii="宋体" w:hAnsi="宋体" w:eastAsia="宋体" w:cs="Times New Roman"/>
          <w:sz w:val="24"/>
          <w:szCs w:val="20"/>
          <w:lang w:val="en-US" w:eastAsia="zh-CN"/>
        </w:rPr>
        <w:t>71</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autoSpaceDE w:val="0"/>
        <w:autoSpaceDN w:val="0"/>
        <w:spacing w:line="360" w:lineRule="auto"/>
        <w:jc w:val="left"/>
        <w:rPr>
          <w:rFonts w:hint="eastAsia" w:ascii="宋体" w:hAnsi="宋体" w:eastAsia="宋体" w:cs="Times New Roman"/>
          <w:sz w:val="24"/>
          <w:szCs w:val="20"/>
          <w:lang w:eastAsia="zh-CN"/>
        </w:rPr>
      </w:pPr>
      <w:r>
        <w:rPr>
          <w:rFonts w:hint="eastAsia" w:ascii="宋体" w:hAnsi="宋体" w:eastAsia="宋体" w:cs="Times New Roman"/>
          <w:sz w:val="24"/>
          <w:szCs w:val="20"/>
        </w:rPr>
        <w:t>联系人：</w:t>
      </w:r>
      <w:r>
        <w:rPr>
          <w:rFonts w:hint="eastAsia" w:ascii="宋体" w:hAnsi="宋体" w:eastAsia="宋体" w:cs="Times New Roman"/>
          <w:sz w:val="24"/>
          <w:szCs w:val="20"/>
          <w:highlight w:val="none"/>
          <w:lang w:val="en-US" w:eastAsia="zh-CN"/>
        </w:rPr>
        <w:t>孙全</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8" w:name="_Toc516880880"/>
      <w:bookmarkStart w:id="9" w:name="_Toc9066359"/>
      <w:bookmarkStart w:id="10" w:name="_Toc11326093"/>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8"/>
      <w:bookmarkEnd w:id="9"/>
      <w:bookmarkEnd w:id="10"/>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highlight w:val="none"/>
              </w:rPr>
            </w:pPr>
            <w:r>
              <w:rPr>
                <w:rFonts w:hint="eastAsia" w:ascii="宋体" w:hAnsi="宋体" w:eastAsia="宋体" w:cs="Times New Roman"/>
                <w:b/>
                <w:sz w:val="24"/>
                <w:szCs w:val="20"/>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w:t>
            </w:r>
            <w:r>
              <w:rPr>
                <w:rFonts w:ascii="宋体" w:hAnsi="宋体" w:eastAsia="宋体" w:cs="Times New Roman"/>
                <w:sz w:val="24"/>
                <w:szCs w:val="20"/>
                <w:highlight w:val="none"/>
              </w:rPr>
              <w:t>2</w:t>
            </w:r>
          </w:p>
        </w:tc>
        <w:tc>
          <w:tcPr>
            <w:tcW w:w="4467" w:type="pct"/>
            <w:vAlign w:val="center"/>
          </w:tcPr>
          <w:p>
            <w:pPr>
              <w:autoSpaceDE w:val="0"/>
              <w:autoSpaceDN w:val="0"/>
              <w:spacing w:line="360" w:lineRule="auto"/>
              <w:rPr>
                <w:rFonts w:hint="default" w:ascii="宋体" w:hAnsi="宋体" w:eastAsia="宋体" w:cs="宋体"/>
                <w:kern w:val="0"/>
                <w:sz w:val="24"/>
                <w:szCs w:val="24"/>
                <w:highlight w:val="none"/>
                <w:lang w:val="en-US"/>
              </w:rPr>
            </w:pPr>
            <w:r>
              <w:rPr>
                <w:rFonts w:hint="eastAsia" w:ascii="宋体" w:hAnsi="宋体" w:eastAsia="宋体" w:cs="Times New Roman"/>
                <w:sz w:val="24"/>
                <w:szCs w:val="20"/>
                <w:highlight w:val="none"/>
              </w:rPr>
              <w:t>项目名称：</w:t>
            </w:r>
            <w:r>
              <w:rPr>
                <w:rFonts w:hint="eastAsia" w:ascii="宋体" w:hAnsi="宋体" w:eastAsia="宋体" w:cs="宋体"/>
                <w:kern w:val="0"/>
                <w:sz w:val="24"/>
                <w:szCs w:val="24"/>
                <w:highlight w:val="none"/>
                <w:lang w:val="en-US" w:eastAsia="zh-CN"/>
              </w:rPr>
              <w:t>总免疫球蛋白E检测等试剂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合同名称：</w:t>
            </w:r>
            <w:r>
              <w:rPr>
                <w:rFonts w:hint="eastAsia" w:ascii="宋体" w:hAnsi="宋体" w:eastAsia="宋体" w:cs="宋体"/>
                <w:kern w:val="0"/>
                <w:sz w:val="24"/>
                <w:szCs w:val="24"/>
                <w:highlight w:val="none"/>
                <w:lang w:val="en-US" w:eastAsia="zh-CN"/>
              </w:rPr>
              <w:t>总免疫球蛋白E检测等试剂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w:t>
            </w:r>
            <w:r>
              <w:rPr>
                <w:rFonts w:ascii="宋体" w:hAnsi="宋体" w:eastAsia="宋体" w:cs="Times New Roman"/>
                <w:sz w:val="24"/>
                <w:szCs w:val="20"/>
                <w:highlight w:val="none"/>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资金性质：</w:t>
            </w:r>
            <w:r>
              <w:rPr>
                <w:rFonts w:hint="eastAsia" w:ascii="宋体" w:hAnsi="宋体" w:eastAsia="宋体" w:cs="Times New Roman"/>
                <w:sz w:val="24"/>
                <w:szCs w:val="20"/>
                <w:highlight w:val="none"/>
                <w:lang w:val="en-US" w:eastAsia="zh-CN"/>
              </w:rPr>
              <w:t>政采</w:t>
            </w:r>
            <w:r>
              <w:rPr>
                <w:rFonts w:hint="eastAsia" w:ascii="宋体" w:hAnsi="宋体" w:eastAsia="宋体" w:cs="Times New Roman"/>
                <w:sz w:val="24"/>
                <w:szCs w:val="20"/>
                <w:highlight w:val="none"/>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2</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2.</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sz w:val="24"/>
                <w:szCs w:val="24"/>
                <w:highlight w:val="none"/>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3</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4.1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投标人应提供下列文件，并按顺序装订成册，编制投标文件目录：</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1.投标书</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投标人应按照招标文件中提供的格式完整、正确填写投标书。</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2.开标一览表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（1）开标一览表应填写项目总价。</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（2）投标人应按照招标文件中提供的格式完整、正确填写开标一览表。开标一览表中的投标总价应与投标分项报价表中总价完全一致，否则将可能否决其投标。</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3.投标分项报价表</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4.货物说明一览表</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5.响应/偏离表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投标人应按《招标文件》要求填写技术规格响应/偏离表、商务条款响应/偏离表。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6.投标人资格证明文件</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投标人资质证明文件具体内容见规定。</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lang w:val="en-US" w:eastAsia="zh-CN"/>
              </w:rPr>
              <w:t>7</w:t>
            </w:r>
            <w:r>
              <w:rPr>
                <w:rFonts w:hint="eastAsia" w:ascii="宋体" w:hAnsi="宋体" w:eastAsia="宋体" w:cs="Times New Roman"/>
                <w:sz w:val="24"/>
                <w:szCs w:val="20"/>
                <w:highlight w:val="none"/>
              </w:rPr>
              <w:t>.投标设备生产厂家的该产品最新原版正式技术参数资料（</w:t>
            </w:r>
            <w:r>
              <w:rPr>
                <w:rFonts w:ascii="宋体" w:hAnsi="宋体" w:eastAsia="宋体" w:cs="Times New Roman"/>
                <w:sz w:val="24"/>
                <w:szCs w:val="20"/>
                <w:highlight w:val="none"/>
              </w:rPr>
              <w:t>Product Data Sheet</w:t>
            </w:r>
            <w:r>
              <w:rPr>
                <w:rFonts w:hint="eastAsia" w:ascii="宋体" w:hAnsi="宋体" w:eastAsia="宋体" w:cs="Times New Roman"/>
                <w:sz w:val="24"/>
                <w:szCs w:val="20"/>
                <w:highlight w:val="none"/>
              </w:rPr>
              <w:t>）及产品货号、制造商公开发布的彩色印刷产品样本等技术资料</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lang w:val="en-US" w:eastAsia="zh-CN"/>
              </w:rPr>
              <w:t>8</w:t>
            </w:r>
            <w:r>
              <w:rPr>
                <w:rFonts w:hint="eastAsia" w:ascii="宋体" w:hAnsi="宋体" w:eastAsia="宋体" w:cs="Times New Roman"/>
                <w:sz w:val="24"/>
                <w:szCs w:val="20"/>
                <w:highlight w:val="none"/>
              </w:rPr>
              <w:t>.投标设备相关的技术服务、安装调试及保修服务的售后服务承诺书。</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lang w:val="en-US" w:eastAsia="zh-CN"/>
              </w:rPr>
              <w:t>9</w:t>
            </w:r>
            <w:r>
              <w:rPr>
                <w:rFonts w:hint="eastAsia" w:ascii="宋体" w:hAnsi="宋体" w:eastAsia="宋体" w:cs="Times New Roman"/>
                <w:sz w:val="24"/>
                <w:szCs w:val="20"/>
                <w:highlight w:val="none"/>
              </w:rPr>
              <w:t>.其他资料（投标人认为有必要提交的其他资料）</w:t>
            </w:r>
            <w:r>
              <w:rPr>
                <w:rFonts w:hint="eastAsia" w:ascii="宋体" w:hAnsi="宋体" w:eastAsia="宋体" w:cs="Times New Roman"/>
                <w:sz w:val="24"/>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lang w:val="en-US" w:eastAsia="zh-CN"/>
              </w:rPr>
              <w:t>5</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ascii="宋体" w:hAnsi="宋体" w:eastAsia="宋体" w:cs="Times New Roman"/>
                <w:sz w:val="24"/>
                <w:szCs w:val="20"/>
                <w:highlight w:val="none"/>
              </w:rPr>
              <w:t>投标人</w:t>
            </w:r>
            <w:r>
              <w:rPr>
                <w:rFonts w:hint="eastAsia" w:ascii="宋体" w:hAnsi="宋体" w:eastAsia="宋体" w:cs="Times New Roman"/>
                <w:sz w:val="24"/>
                <w:szCs w:val="20"/>
                <w:highlight w:val="none"/>
              </w:rPr>
              <w:t>应严格按照招标文件规定的格式和内容编制投标文件，</w:t>
            </w:r>
            <w:r>
              <w:rPr>
                <w:rFonts w:ascii="宋体" w:hAnsi="宋体" w:eastAsia="宋体" w:cs="Times New Roman"/>
                <w:sz w:val="24"/>
                <w:szCs w:val="20"/>
                <w:highlight w:val="none"/>
              </w:rPr>
              <w:t>要求对本招标文件</w:t>
            </w:r>
            <w:r>
              <w:rPr>
                <w:rFonts w:hint="eastAsia" w:ascii="宋体" w:hAnsi="宋体" w:eastAsia="宋体" w:cs="Times New Roman"/>
                <w:sz w:val="24"/>
                <w:szCs w:val="20"/>
                <w:highlight w:val="none"/>
                <w:lang w:val="en-US" w:eastAsia="zh-CN"/>
              </w:rPr>
              <w:t>4.1</w:t>
            </w:r>
            <w:r>
              <w:rPr>
                <w:rFonts w:ascii="宋体" w:hAnsi="宋体" w:eastAsia="宋体" w:cs="Times New Roman"/>
                <w:sz w:val="24"/>
                <w:szCs w:val="20"/>
                <w:highlight w:val="none"/>
              </w:rPr>
              <w:t>所提出各项要求进行逐条逐项答复、说明和解释，</w:t>
            </w:r>
            <w:r>
              <w:rPr>
                <w:rFonts w:hint="eastAsia" w:ascii="宋体" w:hAnsi="宋体" w:eastAsia="宋体" w:cs="Times New Roman"/>
                <w:sz w:val="24"/>
                <w:szCs w:val="20"/>
                <w:highlight w:val="none"/>
              </w:rPr>
              <w:t>并填写在</w:t>
            </w:r>
            <w:r>
              <w:rPr>
                <w:rFonts w:ascii="宋体" w:hAnsi="宋体" w:eastAsia="宋体" w:cs="Times New Roman"/>
                <w:sz w:val="24"/>
                <w:szCs w:val="20"/>
                <w:highlight w:val="none"/>
              </w:rPr>
              <w:t>技术</w:t>
            </w:r>
            <w:r>
              <w:rPr>
                <w:rFonts w:hint="eastAsia" w:ascii="宋体" w:hAnsi="宋体" w:eastAsia="宋体" w:cs="Times New Roman"/>
                <w:sz w:val="24"/>
                <w:szCs w:val="20"/>
                <w:highlight w:val="none"/>
              </w:rPr>
              <w:t>规格响应/</w:t>
            </w:r>
            <w:r>
              <w:rPr>
                <w:rFonts w:ascii="宋体" w:hAnsi="宋体" w:eastAsia="宋体" w:cs="Times New Roman"/>
                <w:sz w:val="24"/>
                <w:szCs w:val="20"/>
                <w:highlight w:val="none"/>
              </w:rPr>
              <w:t>偏离表</w:t>
            </w:r>
            <w:r>
              <w:rPr>
                <w:rFonts w:hint="eastAsia" w:ascii="宋体" w:hAnsi="宋体" w:eastAsia="宋体" w:cs="Times New Roman"/>
                <w:sz w:val="24"/>
                <w:szCs w:val="20"/>
                <w:highlight w:val="none"/>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投标人应根据第</w:t>
            </w:r>
            <w:r>
              <w:rPr>
                <w:rFonts w:hint="eastAsia" w:ascii="宋体" w:hAnsi="宋体" w:eastAsia="宋体" w:cs="Times New Roman"/>
                <w:sz w:val="24"/>
                <w:szCs w:val="20"/>
                <w:highlight w:val="none"/>
                <w:lang w:val="en-US" w:eastAsia="zh-CN"/>
              </w:rPr>
              <w:t>四</w:t>
            </w:r>
            <w:r>
              <w:rPr>
                <w:rFonts w:hint="eastAsia" w:ascii="宋体" w:hAnsi="宋体" w:eastAsia="宋体" w:cs="Times New Roman"/>
                <w:sz w:val="24"/>
                <w:szCs w:val="20"/>
                <w:highlight w:val="none"/>
              </w:rPr>
              <w:t>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货物需求一览表及技术规格</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5</w:t>
            </w:r>
            <w:r>
              <w:rPr>
                <w:rFonts w:hint="eastAsia" w:ascii="宋体" w:hAnsi="宋体" w:eastAsia="宋体" w:cs="Times New Roman"/>
                <w:sz w:val="24"/>
                <w:szCs w:val="20"/>
                <w:highlight w:val="none"/>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5</w:t>
            </w:r>
            <w:r>
              <w:rPr>
                <w:rFonts w:hint="eastAsia" w:ascii="宋体" w:hAnsi="宋体" w:eastAsia="宋体" w:cs="Times New Roman"/>
                <w:sz w:val="24"/>
                <w:szCs w:val="20"/>
                <w:highlight w:val="none"/>
              </w:rPr>
              <w:t>.5</w:t>
            </w:r>
          </w:p>
        </w:tc>
        <w:tc>
          <w:tcPr>
            <w:tcW w:w="4467" w:type="pct"/>
            <w:vAlign w:val="center"/>
          </w:tcPr>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（1）若投标产品以外币报价且为中华人民共和国关境外交付的货物，按开标当日中国银行</w:t>
            </w:r>
            <w:r>
              <w:rPr>
                <w:rFonts w:ascii="宋体" w:hAnsi="宋体" w:eastAsia="宋体" w:cs="Times New Roman"/>
                <w:sz w:val="24"/>
                <w:szCs w:val="24"/>
                <w:highlight w:val="none"/>
              </w:rPr>
              <w:t>总行首次发布的外币对人民币的现汇卖出价进行投标货币的转换</w:t>
            </w:r>
            <w:r>
              <w:rPr>
                <w:rFonts w:hint="eastAsia" w:ascii="宋体" w:hAnsi="宋体" w:eastAsia="宋体" w:cs="Times New Roman"/>
                <w:sz w:val="24"/>
                <w:szCs w:val="24"/>
                <w:highlight w:val="none"/>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4"/>
                <w:highlight w:val="none"/>
              </w:rPr>
              <w:t>（2）若投标产品以外币报价且为中华人民共和国关境内交付的货物，按开标当日中国银行</w:t>
            </w:r>
            <w:r>
              <w:rPr>
                <w:rFonts w:ascii="宋体" w:hAnsi="宋体" w:eastAsia="宋体" w:cs="Times New Roman"/>
                <w:sz w:val="24"/>
                <w:szCs w:val="24"/>
                <w:highlight w:val="none"/>
              </w:rPr>
              <w:t>总行首次发布的外币对人民币的现汇卖出价进行投标货币的转换</w:t>
            </w:r>
            <w:r>
              <w:rPr>
                <w:rFonts w:hint="eastAsia" w:ascii="宋体" w:hAnsi="宋体" w:eastAsia="宋体" w:cs="Times New Roman"/>
                <w:sz w:val="24"/>
                <w:szCs w:val="24"/>
                <w:highlight w:val="none"/>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6</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1）关境内制造的货物</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（1）EXW（出厂价）（应包括增值税和其它税费）</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（2）运至最终目的地的关境内运输费、保险费等相关费用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（3）各种售前、安装调试、验收以及移交等合同履行期间的伴随服务费用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（4）按照</w:t>
            </w:r>
            <w:r>
              <w:rPr>
                <w:rFonts w:hint="eastAsia" w:ascii="宋体" w:hAnsi="宋体" w:eastAsia="宋体" w:cs="Times New Roman"/>
                <w:sz w:val="24"/>
                <w:szCs w:val="20"/>
                <w:highlight w:val="none"/>
                <w:lang w:eastAsia="zh-CN"/>
              </w:rPr>
              <w:t>第四章</w:t>
            </w:r>
            <w:r>
              <w:rPr>
                <w:rFonts w:hint="eastAsia" w:ascii="宋体" w:hAnsi="宋体" w:eastAsia="宋体" w:cs="Times New Roman"/>
                <w:sz w:val="24"/>
                <w:szCs w:val="20"/>
                <w:highlight w:val="none"/>
              </w:rPr>
              <w:t>相应条款中列出的各类培训费用。</w:t>
            </w:r>
          </w:p>
          <w:p>
            <w:pPr>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2）投标截止时间前已经进口的货物</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（1）</w:t>
            </w:r>
            <w:r>
              <w:rPr>
                <w:rFonts w:hint="eastAsia" w:ascii="宋体" w:hAnsi="宋体" w:eastAsia="宋体" w:cs="Times New Roman"/>
                <w:sz w:val="24"/>
                <w:szCs w:val="20"/>
                <w:highlight w:val="none"/>
              </w:rPr>
              <w:t>仓库交货价（应包括增值税、关税和其他税费）</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（2）</w:t>
            </w:r>
            <w:r>
              <w:rPr>
                <w:rFonts w:hint="eastAsia" w:ascii="宋体" w:hAnsi="宋体" w:eastAsia="宋体" w:cs="Times New Roman"/>
                <w:sz w:val="24"/>
                <w:szCs w:val="20"/>
                <w:highlight w:val="none"/>
              </w:rPr>
              <w:t>运至最终目的地的关境内运输费、保险费等相关费用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（3）各种售前、安装调试、验收以及移交等合同履行期间的伴随服务费用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ascii="宋体" w:hAnsi="宋体" w:eastAsia="宋体" w:cs="Times New Roman"/>
                <w:sz w:val="24"/>
                <w:szCs w:val="20"/>
                <w:highlight w:val="none"/>
              </w:rPr>
            </w:pPr>
            <w:r>
              <w:rPr>
                <w:rFonts w:ascii="宋体" w:hAnsi="宋体" w:eastAsia="宋体" w:cs="Times New Roman"/>
                <w:sz w:val="24"/>
                <w:szCs w:val="20"/>
                <w:highlight w:val="none"/>
              </w:rPr>
              <w:t>（4）</w:t>
            </w:r>
            <w:r>
              <w:rPr>
                <w:rFonts w:hint="eastAsia" w:ascii="宋体" w:hAnsi="宋体" w:eastAsia="宋体" w:cs="Times New Roman"/>
                <w:sz w:val="24"/>
                <w:szCs w:val="20"/>
                <w:highlight w:val="none"/>
              </w:rPr>
              <w:t>按照</w:t>
            </w:r>
            <w:r>
              <w:rPr>
                <w:rFonts w:hint="eastAsia" w:ascii="宋体" w:hAnsi="宋体" w:eastAsia="宋体" w:cs="Times New Roman"/>
                <w:sz w:val="24"/>
                <w:szCs w:val="20"/>
                <w:highlight w:val="none"/>
                <w:lang w:eastAsia="zh-CN"/>
              </w:rPr>
              <w:t>第四章</w:t>
            </w:r>
            <w:r>
              <w:rPr>
                <w:rFonts w:hint="eastAsia" w:ascii="宋体" w:hAnsi="宋体" w:eastAsia="宋体" w:cs="Times New Roman"/>
                <w:sz w:val="24"/>
                <w:szCs w:val="20"/>
                <w:highlight w:val="none"/>
              </w:rPr>
              <w:t>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6</w:t>
            </w:r>
            <w:r>
              <w:rPr>
                <w:rFonts w:hint="eastAsia" w:ascii="宋体" w:hAnsi="宋体" w:eastAsia="宋体" w:cs="Times New Roman"/>
                <w:sz w:val="24"/>
                <w:szCs w:val="20"/>
                <w:highlight w:val="none"/>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6</w:t>
            </w:r>
            <w:r>
              <w:rPr>
                <w:rFonts w:hint="eastAsia" w:ascii="宋体" w:hAnsi="宋体" w:eastAsia="宋体" w:cs="Times New Roman"/>
                <w:sz w:val="24"/>
                <w:szCs w:val="20"/>
                <w:highlight w:val="none"/>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7</w:t>
            </w:r>
            <w:r>
              <w:rPr>
                <w:rFonts w:hint="eastAsia" w:ascii="宋体" w:hAnsi="宋体" w:eastAsia="宋体" w:cs="Times New Roman"/>
                <w:sz w:val="24"/>
                <w:szCs w:val="20"/>
                <w:highlight w:val="none"/>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7</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资格标准：</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（1）投标人具有</w:t>
            </w:r>
            <w:r>
              <w:rPr>
                <w:rFonts w:ascii="宋体" w:hAnsi="宋体" w:eastAsia="宋体" w:cs="Times New Roman"/>
                <w:sz w:val="24"/>
                <w:szCs w:val="20"/>
                <w:highlight w:val="none"/>
              </w:rPr>
              <w:t>合法经营资质的独立法人</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其他组织</w:t>
            </w:r>
            <w:r>
              <w:rPr>
                <w:rFonts w:hint="eastAsia" w:ascii="宋体" w:hAnsi="宋体" w:eastAsia="宋体" w:cs="Times New Roman"/>
                <w:sz w:val="24"/>
                <w:szCs w:val="20"/>
                <w:highlight w:val="none"/>
              </w:rPr>
              <w:t>，并具备相应的经营、业务范围</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（2）投标人未被“信用中国”网站（www.creditchina.gov.cn）、中国政府采购网（www.ccgp.gov.cn</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列入失信执行人、重大税收违法案件当事人名单、政府采购严重违法失信行为记录名单</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（3）投标人参加政府采购活动前三年内，在经营活动中没有重大违法记录</w:t>
            </w:r>
            <w:r>
              <w:rPr>
                <w:rFonts w:hint="eastAsia" w:ascii="宋体" w:hAnsi="宋体" w:eastAsia="宋体" w:cs="Times New Roman"/>
                <w:sz w:val="24"/>
                <w:szCs w:val="20"/>
                <w:highlight w:val="none"/>
                <w:lang w:eastAsia="zh-CN"/>
              </w:rPr>
              <w:t>。</w:t>
            </w:r>
            <w:r>
              <w:rPr>
                <w:rFonts w:ascii="宋体" w:hAnsi="宋体" w:eastAsia="宋体" w:cs="Times New Roman"/>
                <w:sz w:val="24"/>
                <w:szCs w:val="20"/>
                <w:highlight w:val="none"/>
              </w:rPr>
              <w:t xml:space="preserve"> </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（4）投标人是专业生产本次所需设备的制造商，或由制造商指定代理商作为本次投标的授权代理</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（5）投标人必须具有相应设备的《医疗器械生产企业许可证》或《医疗器械经营企业许可证》</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（7）投标人提供的投标机型应是原产地的全新产品</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（8）投标人提供的投标机型应在中国国内有装机用户</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rPr>
            </w:pPr>
            <w:r>
              <w:rPr>
                <w:rFonts w:hint="eastAsia" w:ascii="宋体" w:hAnsi="宋体" w:eastAsia="宋体" w:cs="Times New Roman"/>
                <w:sz w:val="24"/>
                <w:szCs w:val="20"/>
                <w:highlight w:val="none"/>
              </w:rPr>
              <w:t>（9）投标人代表可以是法定代表人或被授权委托人。</w:t>
            </w:r>
          </w:p>
          <w:p>
            <w:pPr>
              <w:kinsoku w:val="0"/>
              <w:autoSpaceDE w:val="0"/>
              <w:autoSpaceDN w:val="0"/>
              <w:spacing w:line="360" w:lineRule="auto"/>
              <w:ind w:right="57" w:firstLine="480" w:firstLineChars="200"/>
              <w:textAlignment w:val="bottom"/>
              <w:rPr>
                <w:rFonts w:hint="eastAsia" w:ascii="宋体" w:hAnsi="宋体" w:eastAsia="宋体" w:cs="Times New Roman"/>
                <w:sz w:val="24"/>
                <w:szCs w:val="20"/>
                <w:highlight w:val="none"/>
              </w:rPr>
            </w:pPr>
            <w:r>
              <w:rPr>
                <w:rFonts w:hint="eastAsia" w:ascii="宋体" w:hAnsi="宋体" w:eastAsia="宋体" w:cs="Times New Roman"/>
                <w:sz w:val="24"/>
                <w:szCs w:val="20"/>
                <w:highlight w:val="none"/>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7</w:t>
            </w:r>
            <w:r>
              <w:rPr>
                <w:rFonts w:hint="eastAsia" w:ascii="宋体" w:hAnsi="宋体" w:eastAsia="宋体" w:cs="Times New Roman"/>
                <w:sz w:val="24"/>
                <w:szCs w:val="20"/>
                <w:highlight w:val="none"/>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投标人必须提交的资格证明文件应包括：</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（1）投标人在注册地的相关注册法律文件。若投标人在中华人民共和国境内注册的，则必须提供营业执照</w:t>
            </w:r>
            <w:r>
              <w:rPr>
                <w:rFonts w:hint="eastAsia" w:ascii="宋体" w:hAnsi="宋体" w:eastAsia="宋体" w:cs="宋体"/>
                <w:kern w:val="0"/>
                <w:sz w:val="24"/>
                <w:szCs w:val="24"/>
                <w:highlight w:val="none"/>
              </w:rPr>
              <w:t>（或事业单位、社会团体相关证书）</w:t>
            </w:r>
            <w:r>
              <w:rPr>
                <w:rFonts w:hint="eastAsia" w:ascii="宋体" w:hAnsi="宋体" w:eastAsia="宋体" w:cs="Times New Roman"/>
                <w:sz w:val="24"/>
                <w:szCs w:val="20"/>
                <w:highlight w:val="none"/>
              </w:rPr>
              <w:t>的复印件</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r>
              <w:rPr>
                <w:rFonts w:hint="eastAsia" w:ascii="宋体" w:hAnsi="宋体" w:eastAsia="宋体" w:cs="Times New Roman"/>
                <w:sz w:val="24"/>
                <w:szCs w:val="20"/>
                <w:highlight w:val="none"/>
                <w:lang w:eastAsia="zh-CN"/>
              </w:rPr>
              <w:t>。。</w:t>
            </w:r>
          </w:p>
          <w:p>
            <w:pPr>
              <w:spacing w:line="360" w:lineRule="auto"/>
              <w:jc w:val="left"/>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（4）由投标设备生产厂家提供的投标机型的最新原版正式技术参数资料（</w:t>
            </w:r>
            <w:r>
              <w:rPr>
                <w:rFonts w:ascii="宋体" w:hAnsi="宋体" w:eastAsia="宋体" w:cs="Times New Roman"/>
                <w:sz w:val="24"/>
                <w:szCs w:val="20"/>
                <w:highlight w:val="none"/>
              </w:rPr>
              <w:t>Product Data Sheet</w:t>
            </w: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ascii="宋体" w:hAnsi="宋体" w:eastAsia="宋体" w:cs="Times New Roman"/>
                <w:strike/>
                <w:color w:val="00B0F0"/>
                <w:sz w:val="24"/>
                <w:szCs w:val="20"/>
                <w:highlight w:val="none"/>
              </w:rPr>
            </w:pPr>
            <w:r>
              <w:rPr>
                <w:rFonts w:hint="eastAsia" w:ascii="宋体" w:hAnsi="宋体" w:eastAsia="宋体" w:cs="Times New Roman"/>
                <w:sz w:val="24"/>
                <w:szCs w:val="20"/>
                <w:highlight w:val="none"/>
              </w:rPr>
              <w:t>（5）投标人应是专业生产本次所需主系统设备的制造商或制造商唯一授权的参与本次投标的代理商，且应得到制造商针对本次投标项目的制造商授权书，授权书的有效期应至少与投标有效期一致</w:t>
            </w:r>
            <w:r>
              <w:rPr>
                <w:rFonts w:hint="eastAsia" w:ascii="宋体" w:hAnsi="宋体" w:eastAsia="宋体" w:cs="Times New Roman"/>
                <w:sz w:val="24"/>
                <w:szCs w:val="20"/>
                <w:highlight w:val="none"/>
                <w:lang w:eastAsia="zh-CN"/>
              </w:rPr>
              <w:t>。</w:t>
            </w:r>
            <w:r>
              <w:rPr>
                <w:rFonts w:ascii="宋体" w:hAnsi="宋体" w:eastAsia="宋体" w:cs="Times New Roman"/>
                <w:strike/>
                <w:color w:val="00B0F0"/>
                <w:sz w:val="24"/>
                <w:szCs w:val="20"/>
                <w:highlight w:val="none"/>
              </w:rPr>
              <w:t xml:space="preserve"> </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（6）投标机型在中国国内的销售业绩，并提供装机用户名单（有用户名称）</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（7）投标人需提供无重大违法记录承诺书；</w:t>
            </w:r>
            <w:r>
              <w:rPr>
                <w:rFonts w:hint="eastAsia" w:ascii="宋体" w:hAnsi="宋体" w:eastAsia="宋体" w:cs="Times New Roman"/>
                <w:sz w:val="24"/>
                <w:szCs w:val="24"/>
                <w:highlight w:val="none"/>
              </w:rPr>
              <w:t>（格式见附件1）</w:t>
            </w:r>
            <w:r>
              <w:rPr>
                <w:rFonts w:hint="eastAsia" w:ascii="宋体" w:hAnsi="宋体" w:eastAsia="宋体" w:cs="Times New Roman"/>
                <w:sz w:val="24"/>
                <w:szCs w:val="24"/>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（8）</w:t>
            </w:r>
            <w:r>
              <w:rPr>
                <w:rFonts w:hint="eastAsia" w:ascii="宋体" w:hAnsi="宋体" w:eastAsia="宋体" w:cs="Times New Roman"/>
                <w:sz w:val="24"/>
                <w:szCs w:val="24"/>
                <w:highlight w:val="none"/>
              </w:rPr>
              <w:t>投标人需提供无行贿犯罪记录声明函；（格式见附件2）</w:t>
            </w:r>
            <w:r>
              <w:rPr>
                <w:rFonts w:hint="eastAsia" w:ascii="宋体" w:hAnsi="宋体" w:eastAsia="宋体" w:cs="Times New Roman"/>
                <w:sz w:val="24"/>
                <w:szCs w:val="24"/>
                <w:highlight w:val="none"/>
                <w:lang w:eastAsia="zh-CN"/>
              </w:rPr>
              <w:t>。</w:t>
            </w:r>
          </w:p>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（9）</w:t>
            </w:r>
            <w:r>
              <w:rPr>
                <w:rFonts w:ascii="宋体" w:hAnsi="宋体" w:eastAsia="宋体" w:cs="Times New Roman"/>
                <w:sz w:val="24"/>
                <w:szCs w:val="20"/>
                <w:highlight w:val="none"/>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7</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4</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证明货物和服务与招标文件的要求相一致的文件，可以是文字资料、图纸和数据，包括但不限于：</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1）货物主要技术指标和性能的详细说明</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2）投标人必须提供投标货物验收合格后开始使用至第10年的周期内正常、连续地使用所必须的备件和专用工具清单，包括备件和专用工具的货源及现行价格</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8</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9</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正本的份数：1份</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副本的份数：2份</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9.2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10</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拟评审日期：2023年</w:t>
            </w:r>
            <w:r>
              <w:rPr>
                <w:rFonts w:hint="eastAsia" w:ascii="宋体" w:hAnsi="宋体" w:eastAsia="宋体" w:cs="Times New Roman"/>
                <w:sz w:val="24"/>
                <w:szCs w:val="20"/>
                <w:highlight w:val="none"/>
                <w:lang w:val="en-US" w:eastAsia="zh-CN"/>
              </w:rPr>
              <w:t>12</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21</w:t>
            </w:r>
            <w:bookmarkStart w:id="19" w:name="_GoBack"/>
            <w:bookmarkEnd w:id="19"/>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lang w:val="en-US" w:eastAsia="zh-CN"/>
              </w:rPr>
              <w:t>13</w:t>
            </w:r>
            <w:r>
              <w:rPr>
                <w:rFonts w:hint="eastAsia" w:ascii="宋体" w:hAnsi="宋体" w:eastAsia="宋体" w:cs="Times New Roman"/>
                <w:sz w:val="24"/>
                <w:szCs w:val="20"/>
                <w:highlight w:val="none"/>
              </w:rPr>
              <w:t>：00</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地点：上海市中医医院12号楼205室</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地址：上海市静安区芷江中路274号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10.2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10.3</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本招标文件所涵盖的货物必须按</w:t>
            </w:r>
            <w:r>
              <w:rPr>
                <w:rFonts w:hint="eastAsia" w:ascii="宋体" w:hAnsi="宋体" w:eastAsia="宋体" w:cs="Times New Roman"/>
                <w:sz w:val="24"/>
                <w:szCs w:val="20"/>
                <w:highlight w:val="none"/>
                <w:lang w:eastAsia="zh-CN"/>
              </w:rPr>
              <w:t>第四章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货物需求一览表及技术规格</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highlight w:val="none"/>
              </w:rPr>
              <w:t>0.</w:t>
            </w:r>
            <w:r>
              <w:rPr>
                <w:rFonts w:hint="eastAsia" w:ascii="宋体" w:hAnsi="宋体" w:eastAsia="宋体" w:cs="Times New Roman"/>
                <w:sz w:val="24"/>
                <w:szCs w:val="20"/>
                <w:highlight w:val="none"/>
              </w:rPr>
              <w:t>5</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.3</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所选方案：1）</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投标人提出的付款计划应与第七章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合同专用条款</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.4</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所选方案：1）</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（1）投标人应在投标文件中提供按照出厂标准供应的货物质保期内运行所需的易损件和备品备件，其费用需提供分项报价，并计入投标总价</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.5</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中国关境内的备件供应和售后服务设施：详见</w:t>
            </w:r>
            <w:r>
              <w:rPr>
                <w:rFonts w:hint="eastAsia" w:ascii="宋体" w:hAnsi="宋体" w:eastAsia="宋体" w:cs="Times New Roman"/>
                <w:sz w:val="24"/>
                <w:szCs w:val="20"/>
                <w:highlight w:val="none"/>
                <w:lang w:eastAsia="zh-CN"/>
              </w:rPr>
              <w:t>第四章</w:t>
            </w:r>
            <w:r>
              <w:rPr>
                <w:rFonts w:hint="eastAsia" w:ascii="宋体" w:hAnsi="宋体" w:eastAsia="宋体" w:cs="Times New Roman"/>
                <w:sz w:val="24"/>
                <w:szCs w:val="20"/>
                <w:highlight w:val="none"/>
              </w:rPr>
              <w:t>“货物需求一览表及技术规格”中的相应要求，投标人对其要求的偏离按照本资料表第26.4.7条款的规定执行。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.6</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.7</w:t>
            </w:r>
          </w:p>
        </w:tc>
        <w:tc>
          <w:tcPr>
            <w:tcW w:w="4467" w:type="pct"/>
            <w:vAlign w:val="center"/>
          </w:tcPr>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（1）招标文件中加注“★”号的为重要条款（参数），对任一重要条款（参数）的偏离，其投标将被否决</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（2）招标文件中未加注“★”号的为一般条款（参数），高于标准的，不考虑降低评标价，低于标准的，评标价将增加该设备投标价格的百分之壹（1</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hint="default" w:ascii="宋体" w:hAnsi="宋体" w:eastAsia="宋体" w:cs="Times New Roman"/>
                <w:sz w:val="24"/>
                <w:szCs w:val="20"/>
                <w:highlight w:val="none"/>
                <w:lang w:val="en-US" w:eastAsia="zh-CN"/>
              </w:rPr>
            </w:pPr>
            <w:r>
              <w:rPr>
                <w:rFonts w:hint="eastAsia" w:ascii="宋体" w:hAnsi="宋体" w:eastAsia="宋体" w:cs="Times New Roman"/>
                <w:sz w:val="24"/>
                <w:szCs w:val="20"/>
                <w:highlight w:val="none"/>
                <w:lang w:val="en-US" w:eastAsia="zh-CN"/>
              </w:rPr>
              <w:t>12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highlight w:val="none"/>
              </w:rPr>
            </w:pPr>
            <w:r>
              <w:rPr>
                <w:rFonts w:hint="eastAsia" w:ascii="宋体" w:hAnsi="宋体" w:eastAsia="宋体" w:cs="Times New Roman"/>
                <w:sz w:val="24"/>
                <w:szCs w:val="24"/>
                <w:highlight w:val="none"/>
              </w:rPr>
              <w:t>★增1</w:t>
            </w:r>
          </w:p>
        </w:tc>
        <w:tc>
          <w:tcPr>
            <w:tcW w:w="4467" w:type="pct"/>
            <w:vAlign w:val="center"/>
          </w:tcPr>
          <w:p>
            <w:pPr>
              <w:spacing w:line="360" w:lineRule="auto"/>
              <w:rPr>
                <w:rFonts w:ascii="宋体" w:hAnsi="宋体" w:eastAsia="宋体" w:cs="Times New Roman"/>
                <w:sz w:val="24"/>
                <w:szCs w:val="24"/>
                <w:highlight w:val="none"/>
              </w:rPr>
            </w:pPr>
            <w:r>
              <w:rPr>
                <w:rFonts w:hint="eastAsia" w:ascii="宋体" w:hAnsi="宋体" w:eastAsia="宋体" w:cs="Times New Roman"/>
                <w:sz w:val="24"/>
                <w:szCs w:val="24"/>
                <w:highlight w:val="none"/>
              </w:rPr>
              <w:t>关于原产于特定国家（地区）特定进口商品加征关税的规定</w:t>
            </w:r>
          </w:p>
          <w:p>
            <w:pPr>
              <w:spacing w:line="360" w:lineRule="auto"/>
              <w:rPr>
                <w:rFonts w:hint="eastAsia" w:ascii="宋体" w:hAnsi="宋体" w:eastAsia="宋体" w:cs="Times New Roman"/>
                <w:sz w:val="24"/>
                <w:szCs w:val="24"/>
                <w:highlight w:val="none"/>
                <w:lang w:eastAsia="zh-CN"/>
              </w:rPr>
            </w:pPr>
            <w:r>
              <w:rPr>
                <w:rFonts w:hint="eastAsia" w:ascii="宋体" w:hAnsi="宋体" w:eastAsia="宋体" w:cs="Times New Roman"/>
                <w:sz w:val="24"/>
                <w:szCs w:val="24"/>
                <w:highlight w:val="none"/>
              </w:rPr>
              <w:t>（1）投标产品为原产于特定国家（地区）的特定商品被中国政府实施加征关税等措施且加征关税在实际进口时未被核准市场化采购排除的，加征的关税以及由此增加的增值税等额外税费由中标人承担</w:t>
            </w:r>
            <w:r>
              <w:rPr>
                <w:rFonts w:hint="eastAsia" w:ascii="宋体" w:hAnsi="宋体" w:eastAsia="宋体" w:cs="Times New Roman"/>
                <w:sz w:val="24"/>
                <w:szCs w:val="24"/>
                <w:highlight w:val="none"/>
                <w:lang w:eastAsia="zh-CN"/>
              </w:rPr>
              <w:t>。</w:t>
            </w:r>
          </w:p>
          <w:p>
            <w:pPr>
              <w:spacing w:line="360" w:lineRule="auto"/>
              <w:rPr>
                <w:rFonts w:hint="eastAsia" w:ascii="宋体" w:hAnsi="宋体" w:eastAsia="宋体" w:cs="Times New Roman"/>
                <w:sz w:val="24"/>
                <w:szCs w:val="24"/>
                <w:highlight w:val="none"/>
                <w:lang w:eastAsia="zh-CN"/>
              </w:rPr>
            </w:pPr>
            <w:r>
              <w:rPr>
                <w:rFonts w:hint="eastAsia" w:ascii="宋体" w:hAnsi="宋体" w:eastAsia="宋体" w:cs="Times New Roman"/>
                <w:sz w:val="24"/>
                <w:szCs w:val="24"/>
                <w:highlight w:val="none"/>
              </w:rPr>
              <w:t>（2）投标人需在投标时出具承担加征关税以及由此增加的增值税等额外税费的承诺书</w:t>
            </w:r>
            <w:r>
              <w:rPr>
                <w:rFonts w:hint="eastAsia" w:ascii="宋体" w:hAnsi="宋体" w:eastAsia="宋体" w:cs="Times New Roman"/>
                <w:sz w:val="24"/>
                <w:szCs w:val="24"/>
                <w:highlight w:val="none"/>
                <w:lang w:eastAsia="zh-CN"/>
              </w:rPr>
              <w:t>。</w:t>
            </w:r>
          </w:p>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1" w:name="_Toc11326094"/>
      <w:bookmarkStart w:id="12" w:name="_Toc9066360"/>
      <w:r>
        <w:rPr>
          <w:rFonts w:hint="eastAsia" w:ascii="宋体" w:hAnsi="宋体" w:eastAsia="宋体" w:cs="Times New Roman"/>
          <w:b/>
          <w:sz w:val="36"/>
          <w:szCs w:val="20"/>
        </w:rPr>
        <w:t>第三章 合同专用条款</w:t>
      </w:r>
      <w:bookmarkEnd w:id="11"/>
      <w:bookmarkEnd w:id="12"/>
    </w:p>
    <w:tbl>
      <w:tblPr>
        <w:tblStyle w:val="31"/>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73" w:type="dxa"/>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rPr>
              <w:t>邮编：</w:t>
            </w:r>
            <w:r>
              <w:rPr>
                <w:rFonts w:hint="eastAsia" w:ascii="宋体" w:hAnsi="宋体" w:eastAsia="宋体" w:cs="Times New Roman"/>
                <w:sz w:val="24"/>
                <w:szCs w:val="20"/>
                <w:lang w:eastAsia="zh-CN"/>
              </w:rPr>
              <w:t>200071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rPr>
              <w:t>联系人</w:t>
            </w: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val="en-US" w:eastAsia="zh-CN"/>
              </w:rPr>
              <w:t>孙全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卖方应按产品出厂标准供应的货物质保期内运行。若对备件有具体要求，详见第</w:t>
            </w:r>
            <w:r>
              <w:rPr>
                <w:rFonts w:hint="eastAsia" w:ascii="宋体" w:hAnsi="宋体" w:eastAsia="宋体" w:cs="Times New Roman"/>
                <w:sz w:val="24"/>
                <w:szCs w:val="20"/>
                <w:lang w:val="en-US" w:eastAsia="zh-CN"/>
              </w:rPr>
              <w:t>四</w:t>
            </w:r>
            <w:r>
              <w:rPr>
                <w:rFonts w:hint="eastAsia" w:ascii="宋体" w:hAnsi="宋体" w:eastAsia="宋体" w:cs="Times New Roman"/>
                <w:sz w:val="24"/>
                <w:szCs w:val="20"/>
              </w:rPr>
              <w:t>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w:t>
            </w:r>
            <w:r>
              <w:rPr>
                <w:rFonts w:hint="eastAsia" w:ascii="宋体" w:hAnsi="宋体" w:eastAsia="宋体" w:cs="Times New Roman"/>
                <w:sz w:val="24"/>
                <w:szCs w:val="20"/>
                <w:lang w:val="en-US" w:eastAsia="zh-CN"/>
              </w:rPr>
              <w:t>四</w:t>
            </w:r>
            <w:r>
              <w:rPr>
                <w:rFonts w:hint="eastAsia" w:ascii="宋体" w:hAnsi="宋体" w:eastAsia="宋体" w:cs="Times New Roman"/>
                <w:sz w:val="24"/>
                <w:szCs w:val="20"/>
              </w:rPr>
              <w:t>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（1）</w:t>
            </w:r>
            <w:r>
              <w:rPr>
                <w:rFonts w:hint="eastAsia" w:ascii="宋体" w:hAnsi="宋体" w:eastAsia="宋体" w:cs="宋体"/>
                <w:b w:val="0"/>
                <w:bCs w:val="0"/>
                <w:sz w:val="24"/>
                <w:szCs w:val="24"/>
              </w:rPr>
              <w:t>货到验收</w:t>
            </w:r>
            <w:r>
              <w:rPr>
                <w:rFonts w:hint="eastAsia" w:ascii="宋体" w:hAnsi="宋体" w:eastAsia="宋体" w:cs="宋体"/>
                <w:b w:val="0"/>
                <w:bCs w:val="0"/>
                <w:sz w:val="24"/>
                <w:szCs w:val="24"/>
                <w:lang w:val="en-US" w:eastAsia="zh-CN"/>
              </w:rPr>
              <w:t>并开具合格发票</w:t>
            </w:r>
            <w:r>
              <w:rPr>
                <w:rFonts w:hint="eastAsia" w:ascii="宋体" w:hAnsi="宋体" w:eastAsia="宋体" w:cs="宋体"/>
                <w:b w:val="0"/>
                <w:bCs w:val="0"/>
                <w:sz w:val="24"/>
                <w:szCs w:val="24"/>
              </w:rPr>
              <w:t>后</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个月内买方支付货款的100%</w:t>
            </w:r>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2.2</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hint="eastAsia" w:ascii="宋体" w:hAnsi="宋体" w:eastAsia="宋体" w:cs="Times New Roman"/>
                <w:sz w:val="24"/>
                <w:szCs w:val="20"/>
                <w:lang w:eastAsia="zh-CN"/>
              </w:rPr>
            </w:pPr>
            <w:r>
              <w:rPr>
                <w:rFonts w:ascii="宋体" w:hAnsi="宋体" w:eastAsia="宋体" w:cs="Times New Roman"/>
                <w:sz w:val="24"/>
                <w:szCs w:val="20"/>
              </w:rPr>
              <w:t>2.</w:t>
            </w:r>
            <w:r>
              <w:rPr>
                <w:rFonts w:hint="eastAsia" w:ascii="宋体" w:hAnsi="宋体" w:eastAsia="宋体" w:cs="Times New Roman"/>
                <w:sz w:val="24"/>
                <w:szCs w:val="20"/>
                <w:lang w:val="en-US" w:eastAsia="zh-CN"/>
              </w:rPr>
              <w:t>5</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ascii="宋体" w:hAnsi="宋体" w:eastAsia="宋体" w:cs="Times New Roman"/>
          <w:b/>
          <w:sz w:val="36"/>
          <w:szCs w:val="20"/>
          <w:highlight w:val="none"/>
        </w:rPr>
      </w:pPr>
      <w:bookmarkStart w:id="13" w:name="_Toc11326095"/>
      <w:bookmarkStart w:id="14" w:name="_Toc9066361"/>
      <w:r>
        <w:rPr>
          <w:rFonts w:hint="eastAsia" w:ascii="宋体" w:hAnsi="宋体" w:eastAsia="宋体" w:cs="Times New Roman"/>
          <w:b/>
          <w:sz w:val="36"/>
          <w:szCs w:val="20"/>
          <w:highlight w:val="none"/>
        </w:rPr>
        <w:t>货物需求一览表及技术规格</w:t>
      </w:r>
      <w:bookmarkEnd w:id="13"/>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bookmarkStart w:id="15" w:name="_Toc11326096"/>
      <w:r>
        <w:rPr>
          <w:rFonts w:hint="eastAsia" w:ascii="宋体" w:hAnsi="宋体" w:eastAsia="宋体" w:cs="宋体"/>
          <w:b/>
          <w:bCs/>
          <w:sz w:val="24"/>
          <w:szCs w:val="24"/>
          <w:lang w:val="en-US" w:eastAsia="zh-CN"/>
        </w:rPr>
        <w:t>包件一：</w:t>
      </w:r>
    </w:p>
    <w:p>
      <w:pPr>
        <w:pStyle w:val="54"/>
        <w:numPr>
          <w:ilvl w:val="0"/>
          <w:numId w:val="3"/>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Times New Roman"/>
          <w:sz w:val="24"/>
          <w:szCs w:val="24"/>
          <w:lang w:val="en-US" w:eastAsia="zh-CN"/>
        </w:rPr>
        <w:t>项目</w:t>
      </w:r>
      <w:r>
        <w:rPr>
          <w:rFonts w:hint="eastAsia" w:ascii="宋体" w:hAnsi="宋体" w:eastAsia="宋体" w:cs="Times New Roman"/>
          <w:b w:val="0"/>
          <w:bCs w:val="0"/>
          <w:sz w:val="24"/>
          <w:szCs w:val="24"/>
        </w:rPr>
        <w:t>名称：</w:t>
      </w:r>
      <w:r>
        <w:rPr>
          <w:rFonts w:hint="eastAsia" w:ascii="宋体" w:hAnsi="宋体" w:eastAsia="宋体" w:cs="宋体"/>
          <w:kern w:val="0"/>
          <w:sz w:val="24"/>
          <w:szCs w:val="24"/>
          <w:highlight w:val="none"/>
          <w:lang w:val="en-US" w:eastAsia="zh-CN"/>
        </w:rPr>
        <w:t>总免疫球蛋白E检测</w:t>
      </w:r>
    </w:p>
    <w:p>
      <w:pPr>
        <w:pStyle w:val="54"/>
        <w:numPr>
          <w:ilvl w:val="0"/>
          <w:numId w:val="3"/>
        </w:numPr>
        <w:spacing w:line="360" w:lineRule="auto"/>
        <w:ind w:left="-420" w:leftChars="0" w:firstLine="420" w:firstLineChars="0"/>
        <w:rPr>
          <w:rFonts w:ascii="宋体" w:hAnsi="宋体" w:eastAsia="宋体"/>
          <w:b w:val="0"/>
          <w:bCs w:val="0"/>
          <w:sz w:val="24"/>
          <w:szCs w:val="24"/>
        </w:rPr>
      </w:pPr>
      <w:r>
        <w:rPr>
          <w:rFonts w:hint="eastAsia" w:ascii="宋体" w:hAnsi="宋体" w:eastAsia="宋体"/>
          <w:b w:val="0"/>
          <w:bCs w:val="0"/>
          <w:sz w:val="24"/>
          <w:szCs w:val="24"/>
        </w:rPr>
        <w:t>交货时间：</w:t>
      </w:r>
      <w:r>
        <w:rPr>
          <w:rFonts w:hint="eastAsia" w:ascii="宋体" w:hAnsi="宋体" w:eastAsia="宋体"/>
          <w:b w:val="0"/>
          <w:bCs w:val="0"/>
          <w:sz w:val="24"/>
          <w:szCs w:val="24"/>
          <w:lang w:val="en-US" w:eastAsia="zh-CN"/>
        </w:rPr>
        <w:t>买方指定时间</w:t>
      </w:r>
    </w:p>
    <w:p>
      <w:pPr>
        <w:pStyle w:val="54"/>
        <w:numPr>
          <w:ilvl w:val="0"/>
          <w:numId w:val="3"/>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宋体"/>
          <w:b w:val="0"/>
          <w:bCs w:val="0"/>
          <w:sz w:val="24"/>
          <w:szCs w:val="24"/>
        </w:rPr>
        <w:t>货到验收</w:t>
      </w:r>
      <w:r>
        <w:rPr>
          <w:rFonts w:hint="eastAsia" w:ascii="宋体" w:hAnsi="宋体" w:eastAsia="宋体" w:cs="宋体"/>
          <w:b w:val="0"/>
          <w:bCs w:val="0"/>
          <w:sz w:val="24"/>
          <w:szCs w:val="24"/>
          <w:lang w:val="en-US" w:eastAsia="zh-CN"/>
        </w:rPr>
        <w:t>并开具合格发票</w:t>
      </w:r>
      <w:r>
        <w:rPr>
          <w:rFonts w:hint="eastAsia" w:ascii="宋体" w:hAnsi="宋体" w:eastAsia="宋体" w:cs="宋体"/>
          <w:b w:val="0"/>
          <w:bCs w:val="0"/>
          <w:sz w:val="24"/>
          <w:szCs w:val="24"/>
        </w:rPr>
        <w:t>后</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个月内买方支付货款的100%</w:t>
      </w:r>
    </w:p>
    <w:p>
      <w:pPr>
        <w:pStyle w:val="54"/>
        <w:numPr>
          <w:ilvl w:val="0"/>
          <w:numId w:val="3"/>
        </w:numPr>
        <w:spacing w:line="360" w:lineRule="auto"/>
        <w:ind w:left="-420" w:leftChars="0" w:firstLine="420" w:firstLine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交货地点：</w:t>
      </w:r>
      <w:r>
        <w:rPr>
          <w:rFonts w:hint="eastAsia" w:ascii="宋体" w:hAnsi="宋体" w:eastAsia="宋体" w:cs="宋体"/>
          <w:b w:val="0"/>
          <w:bCs w:val="0"/>
          <w:sz w:val="24"/>
          <w:szCs w:val="24"/>
          <w:lang w:val="en-US" w:eastAsia="zh-CN"/>
        </w:rPr>
        <w:t>买方</w:t>
      </w:r>
      <w:r>
        <w:rPr>
          <w:rFonts w:hint="eastAsia" w:ascii="宋体" w:hAnsi="宋体" w:eastAsia="宋体" w:cs="宋体"/>
          <w:b w:val="0"/>
          <w:bCs w:val="0"/>
          <w:sz w:val="24"/>
          <w:szCs w:val="24"/>
          <w:lang w:eastAsia="zh-CN"/>
        </w:rPr>
        <w:t>指定地点</w:t>
      </w:r>
    </w:p>
    <w:p>
      <w:pPr>
        <w:pStyle w:val="54"/>
        <w:widowControl w:val="0"/>
        <w:numPr>
          <w:ilvl w:val="0"/>
          <w:numId w:val="0"/>
        </w:numPr>
        <w:spacing w:line="360" w:lineRule="auto"/>
        <w:ind w:leftChars="0"/>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w:t>
      </w:r>
      <w:r>
        <w:rPr>
          <w:rFonts w:hint="eastAsia" w:ascii="宋体" w:hAnsi="宋体" w:eastAsia="宋体" w:cs="宋体"/>
          <w:b w:val="0"/>
          <w:bCs w:val="0"/>
          <w:sz w:val="24"/>
          <w:szCs w:val="24"/>
        </w:rPr>
        <w:t>技术指标要求</w:t>
      </w:r>
    </w:p>
    <w:p>
      <w:pPr>
        <w:numPr>
          <w:ilvl w:val="0"/>
          <w:numId w:val="4"/>
        </w:numPr>
        <w:spacing w:line="360" w:lineRule="auto"/>
        <w:ind w:left="425" w:leftChars="0" w:hanging="425" w:firstLineChars="0"/>
        <w:rPr>
          <w:rFonts w:hint="eastAsia" w:ascii="宋体" w:hAnsi="宋体" w:eastAsia="宋体" w:cs="宋体"/>
          <w:sz w:val="24"/>
        </w:rPr>
      </w:pPr>
      <w:r>
        <w:rPr>
          <w:rFonts w:hint="eastAsia" w:ascii="宋体" w:hAnsi="宋体" w:eastAsia="宋体" w:cs="宋体"/>
          <w:sz w:val="24"/>
        </w:rPr>
        <w:t>试剂用途</w:t>
      </w:r>
      <w:r>
        <w:rPr>
          <w:rFonts w:hint="eastAsia" w:ascii="宋体" w:hAnsi="宋体" w:eastAsia="宋体" w:cs="宋体"/>
          <w:sz w:val="24"/>
          <w:lang w:eastAsia="zh-CN"/>
        </w:rPr>
        <w:t>：</w:t>
      </w:r>
      <w:r>
        <w:rPr>
          <w:rFonts w:hint="eastAsia" w:ascii="宋体" w:hAnsi="宋体" w:eastAsia="宋体" w:cs="宋体"/>
          <w:sz w:val="24"/>
        </w:rPr>
        <w:t>用于体外定量测定人血清或血浆中免疫球蛋白E的含量</w:t>
      </w:r>
    </w:p>
    <w:p>
      <w:pPr>
        <w:numPr>
          <w:ilvl w:val="0"/>
          <w:numId w:val="4"/>
        </w:numPr>
        <w:spacing w:line="360" w:lineRule="auto"/>
        <w:ind w:left="425" w:leftChars="0" w:hanging="425" w:firstLineChars="0"/>
        <w:rPr>
          <w:rFonts w:hint="eastAsia" w:ascii="宋体" w:hAnsi="宋体" w:eastAsia="宋体" w:cs="宋体"/>
          <w:sz w:val="24"/>
        </w:rPr>
      </w:pPr>
      <w:r>
        <w:rPr>
          <w:rFonts w:hint="eastAsia" w:ascii="宋体" w:hAnsi="宋体" w:eastAsia="宋体" w:cs="宋体"/>
          <w:sz w:val="24"/>
        </w:rPr>
        <w:t>★样本类型</w:t>
      </w:r>
      <w:r>
        <w:rPr>
          <w:rFonts w:hint="eastAsia" w:ascii="宋体" w:hAnsi="宋体" w:eastAsia="宋体" w:cs="宋体"/>
          <w:sz w:val="24"/>
          <w:lang w:eastAsia="zh-CN"/>
        </w:rPr>
        <w:t>：</w:t>
      </w:r>
      <w:r>
        <w:rPr>
          <w:rFonts w:hint="eastAsia" w:ascii="宋体" w:hAnsi="宋体" w:eastAsia="宋体" w:cs="宋体"/>
          <w:bCs/>
          <w:sz w:val="24"/>
        </w:rPr>
        <w:t>新鲜血清，EDTA钾或肝素锂抗凝血浆</w:t>
      </w:r>
    </w:p>
    <w:p>
      <w:pPr>
        <w:numPr>
          <w:ilvl w:val="0"/>
          <w:numId w:val="4"/>
        </w:numPr>
        <w:spacing w:line="360" w:lineRule="auto"/>
        <w:ind w:left="425" w:leftChars="0" w:hanging="425" w:firstLineChars="0"/>
        <w:rPr>
          <w:rFonts w:hint="eastAsia" w:ascii="宋体" w:hAnsi="宋体" w:eastAsia="宋体" w:cs="宋体"/>
          <w:sz w:val="24"/>
        </w:rPr>
      </w:pPr>
      <w:r>
        <w:rPr>
          <w:rFonts w:hint="eastAsia" w:ascii="宋体" w:hAnsi="宋体" w:eastAsia="宋体" w:cs="宋体"/>
          <w:sz w:val="24"/>
        </w:rPr>
        <w:t>适用机型</w:t>
      </w:r>
      <w:r>
        <w:rPr>
          <w:rFonts w:hint="eastAsia" w:ascii="宋体" w:hAnsi="宋体" w:eastAsia="宋体" w:cs="宋体"/>
          <w:sz w:val="24"/>
          <w:lang w:eastAsia="zh-CN"/>
        </w:rPr>
        <w:t>：</w:t>
      </w:r>
      <w:r>
        <w:rPr>
          <w:rFonts w:hint="eastAsia" w:ascii="宋体" w:hAnsi="宋体" w:eastAsia="宋体" w:cs="宋体"/>
          <w:sz w:val="24"/>
        </w:rPr>
        <w:t>适用各类全自动生化分析仪</w:t>
      </w:r>
    </w:p>
    <w:p>
      <w:pPr>
        <w:numPr>
          <w:ilvl w:val="0"/>
          <w:numId w:val="4"/>
        </w:numPr>
        <w:spacing w:line="360" w:lineRule="auto"/>
        <w:ind w:left="425" w:leftChars="0" w:hanging="425" w:firstLineChars="0"/>
        <w:rPr>
          <w:rFonts w:hint="eastAsia" w:ascii="宋体" w:hAnsi="宋体" w:eastAsia="宋体" w:cs="宋体"/>
          <w:sz w:val="24"/>
        </w:rPr>
      </w:pPr>
      <w:r>
        <w:rPr>
          <w:rFonts w:hint="eastAsia" w:ascii="宋体" w:hAnsi="宋体" w:eastAsia="宋体" w:cs="宋体"/>
          <w:sz w:val="24"/>
        </w:rPr>
        <w:t>准确度</w:t>
      </w:r>
      <w:r>
        <w:rPr>
          <w:rFonts w:hint="eastAsia" w:ascii="宋体" w:hAnsi="宋体" w:eastAsia="宋体" w:cs="宋体"/>
          <w:sz w:val="24"/>
          <w:lang w:eastAsia="zh-CN"/>
        </w:rPr>
        <w:t>：</w:t>
      </w:r>
      <w:r>
        <w:rPr>
          <w:rFonts w:hint="eastAsia" w:ascii="宋体" w:hAnsi="宋体" w:eastAsia="宋体" w:cs="宋体"/>
          <w:sz w:val="24"/>
        </w:rPr>
        <w:t>准确度相对偏差应不超过±15%</w:t>
      </w:r>
    </w:p>
    <w:p>
      <w:pPr>
        <w:numPr>
          <w:ilvl w:val="0"/>
          <w:numId w:val="4"/>
        </w:numPr>
        <w:spacing w:line="360" w:lineRule="auto"/>
        <w:ind w:left="425" w:leftChars="0" w:hanging="425" w:firstLineChars="0"/>
        <w:rPr>
          <w:rFonts w:hint="eastAsia" w:ascii="宋体" w:hAnsi="宋体" w:eastAsia="宋体" w:cs="宋体"/>
          <w:sz w:val="24"/>
        </w:rPr>
      </w:pPr>
      <w:r>
        <w:rPr>
          <w:rFonts w:hint="eastAsia" w:ascii="宋体" w:hAnsi="宋体" w:eastAsia="宋体" w:cs="宋体"/>
          <w:sz w:val="24"/>
        </w:rPr>
        <w:t>精密度</w:t>
      </w:r>
      <w:r>
        <w:rPr>
          <w:rFonts w:hint="eastAsia" w:ascii="宋体" w:hAnsi="宋体" w:eastAsia="宋体" w:cs="宋体"/>
          <w:sz w:val="24"/>
          <w:lang w:eastAsia="zh-CN"/>
        </w:rPr>
        <w:t>：</w:t>
      </w:r>
      <w:r>
        <w:rPr>
          <w:rFonts w:hint="eastAsia" w:ascii="宋体" w:hAnsi="宋体" w:eastAsia="宋体" w:cs="宋体"/>
          <w:sz w:val="24"/>
        </w:rPr>
        <w:t>CV≤10%</w:t>
      </w:r>
    </w:p>
    <w:p>
      <w:pPr>
        <w:numPr>
          <w:ilvl w:val="0"/>
          <w:numId w:val="4"/>
        </w:numPr>
        <w:spacing w:line="360" w:lineRule="auto"/>
        <w:ind w:left="425" w:leftChars="0" w:hanging="425" w:firstLineChars="0"/>
        <w:rPr>
          <w:rFonts w:hint="eastAsia" w:ascii="宋体" w:hAnsi="宋体" w:eastAsia="宋体" w:cs="宋体"/>
          <w:sz w:val="24"/>
        </w:rPr>
      </w:pPr>
      <w:r>
        <w:rPr>
          <w:rFonts w:hint="eastAsia" w:ascii="宋体" w:hAnsi="宋体" w:eastAsia="宋体" w:cs="宋体"/>
          <w:sz w:val="24"/>
        </w:rPr>
        <w:t>线性范围</w:t>
      </w:r>
      <w:r>
        <w:rPr>
          <w:rFonts w:hint="eastAsia" w:ascii="宋体" w:hAnsi="宋体" w:eastAsia="宋体" w:cs="宋体"/>
          <w:sz w:val="24"/>
          <w:lang w:eastAsia="zh-CN"/>
        </w:rPr>
        <w:t>：</w:t>
      </w:r>
      <w:r>
        <w:rPr>
          <w:rFonts w:hint="eastAsia" w:ascii="宋体" w:hAnsi="宋体" w:eastAsia="宋体" w:cs="宋体"/>
          <w:sz w:val="24"/>
        </w:rPr>
        <w:t>偏差应不超过±15%</w:t>
      </w:r>
    </w:p>
    <w:p>
      <w:pPr>
        <w:numPr>
          <w:ilvl w:val="0"/>
          <w:numId w:val="4"/>
        </w:numPr>
        <w:spacing w:line="360" w:lineRule="auto"/>
        <w:ind w:left="425" w:leftChars="0" w:hanging="425" w:firstLineChars="0"/>
        <w:rPr>
          <w:rFonts w:hint="eastAsia" w:ascii="宋体" w:hAnsi="宋体" w:eastAsia="宋体" w:cs="宋体"/>
          <w:sz w:val="24"/>
        </w:rPr>
      </w:pPr>
      <w:r>
        <w:rPr>
          <w:rFonts w:hint="eastAsia" w:ascii="宋体" w:hAnsi="宋体" w:eastAsia="宋体" w:cs="宋体"/>
          <w:sz w:val="24"/>
        </w:rPr>
        <w:t>抗干扰</w:t>
      </w:r>
      <w:r>
        <w:rPr>
          <w:rFonts w:hint="eastAsia" w:ascii="宋体" w:hAnsi="宋体" w:eastAsia="宋体" w:cs="宋体"/>
          <w:sz w:val="24"/>
          <w:lang w:eastAsia="zh-CN"/>
        </w:rPr>
        <w:t>：</w:t>
      </w:r>
      <w:r>
        <w:rPr>
          <w:rFonts w:hint="eastAsia" w:ascii="宋体" w:hAnsi="宋体" w:eastAsia="宋体" w:cs="宋体"/>
          <w:sz w:val="24"/>
          <w:lang w:eastAsia="zh-Hans"/>
        </w:rPr>
        <w:t>胆红素≤40mg/dL，血红蛋白≤500 mg/dL，脂肪乳≤5‰不会显著影响测定结果（相对偏差不超过±10%）</w:t>
      </w:r>
    </w:p>
    <w:p>
      <w:pPr>
        <w:numPr>
          <w:ilvl w:val="0"/>
          <w:numId w:val="4"/>
        </w:numPr>
        <w:autoSpaceDE w:val="0"/>
        <w:autoSpaceDN w:val="0"/>
        <w:spacing w:line="360" w:lineRule="auto"/>
        <w:ind w:left="425" w:leftChars="0" w:hanging="425" w:firstLineChars="0"/>
        <w:textAlignment w:val="bottom"/>
        <w:rPr>
          <w:rFonts w:hint="eastAsia" w:ascii="宋体" w:hAnsi="宋体" w:eastAsia="宋体" w:cs="宋体"/>
          <w:sz w:val="24"/>
        </w:rPr>
      </w:pPr>
      <w:r>
        <w:rPr>
          <w:rFonts w:hint="eastAsia" w:ascii="宋体" w:hAnsi="宋体" w:eastAsia="宋体" w:cs="宋体"/>
          <w:sz w:val="24"/>
        </w:rPr>
        <w:t>★参考区间</w:t>
      </w:r>
      <w:r>
        <w:rPr>
          <w:rFonts w:hint="eastAsia" w:ascii="宋体" w:hAnsi="宋体" w:eastAsia="宋体" w:cs="宋体"/>
          <w:sz w:val="24"/>
          <w:lang w:eastAsia="zh-CN"/>
        </w:rPr>
        <w:t>：</w:t>
      </w:r>
      <w:r>
        <w:rPr>
          <w:rFonts w:hint="eastAsia" w:ascii="宋体" w:hAnsi="宋体" w:eastAsia="宋体" w:cs="宋体"/>
          <w:sz w:val="24"/>
        </w:rPr>
        <w:t>&lt;</w:t>
      </w:r>
      <w:r>
        <w:rPr>
          <w:rFonts w:hint="eastAsia" w:ascii="宋体" w:hAnsi="宋体" w:eastAsia="宋体" w:cs="宋体"/>
          <w:sz w:val="24"/>
          <w:lang w:val="en-US" w:eastAsia="zh-CN"/>
        </w:rPr>
        <w:t>400</w:t>
      </w:r>
      <w:r>
        <w:rPr>
          <w:rFonts w:hint="eastAsia" w:ascii="宋体" w:hAnsi="宋体" w:eastAsia="宋体" w:cs="宋体"/>
          <w:sz w:val="24"/>
        </w:rPr>
        <w:t>IU/mL</w:t>
      </w:r>
    </w:p>
    <w:p>
      <w:pPr>
        <w:numPr>
          <w:ilvl w:val="0"/>
          <w:numId w:val="4"/>
        </w:numPr>
        <w:spacing w:line="360" w:lineRule="auto"/>
        <w:ind w:left="425" w:leftChars="0" w:hanging="425" w:firstLineChars="0"/>
        <w:rPr>
          <w:rFonts w:hint="eastAsia" w:ascii="宋体" w:hAnsi="宋体" w:eastAsia="宋体" w:cs="宋体"/>
          <w:sz w:val="24"/>
        </w:rPr>
      </w:pPr>
      <w:r>
        <w:rPr>
          <w:rFonts w:hint="eastAsia" w:ascii="宋体" w:hAnsi="宋体" w:eastAsia="宋体" w:cs="宋体"/>
          <w:sz w:val="24"/>
        </w:rPr>
        <w:t>配送方式</w:t>
      </w:r>
      <w:r>
        <w:rPr>
          <w:rFonts w:hint="eastAsia" w:ascii="宋体" w:hAnsi="宋体" w:eastAsia="宋体" w:cs="宋体"/>
          <w:sz w:val="24"/>
          <w:lang w:eastAsia="zh-CN"/>
        </w:rPr>
        <w:t>：</w:t>
      </w:r>
      <w:r>
        <w:rPr>
          <w:rFonts w:hint="eastAsia" w:ascii="宋体" w:hAnsi="宋体" w:eastAsia="宋体" w:cs="宋体"/>
          <w:sz w:val="24"/>
        </w:rPr>
        <w:t>冷链运输（2-8℃储存），提供符合国家新冠疫情防疫要求的相关制度及管理方案</w:t>
      </w:r>
    </w:p>
    <w:p>
      <w:pPr>
        <w:numPr>
          <w:ilvl w:val="0"/>
          <w:numId w:val="4"/>
        </w:numPr>
        <w:spacing w:line="360" w:lineRule="auto"/>
        <w:ind w:left="425" w:leftChars="0" w:hanging="425" w:firstLineChars="0"/>
        <w:rPr>
          <w:rFonts w:hint="eastAsia" w:ascii="宋体" w:hAnsi="宋体" w:eastAsia="宋体" w:cs="宋体"/>
          <w:sz w:val="24"/>
          <w:lang w:eastAsia="zh-CN"/>
        </w:rPr>
      </w:pPr>
      <w:r>
        <w:rPr>
          <w:rFonts w:hint="eastAsia" w:ascii="宋体" w:hAnsi="宋体" w:eastAsia="宋体" w:cs="宋体"/>
          <w:sz w:val="24"/>
        </w:rPr>
        <w:t>有效期</w:t>
      </w:r>
      <w:r>
        <w:rPr>
          <w:rFonts w:hint="eastAsia" w:ascii="宋体" w:hAnsi="宋体" w:eastAsia="宋体" w:cs="宋体"/>
          <w:sz w:val="24"/>
          <w:lang w:eastAsia="zh-CN"/>
        </w:rPr>
        <w:t>：</w:t>
      </w:r>
      <w:r>
        <w:rPr>
          <w:rFonts w:hint="eastAsia" w:ascii="宋体" w:hAnsi="宋体" w:eastAsia="宋体" w:cs="宋体"/>
          <w:sz w:val="24"/>
        </w:rPr>
        <w:t>≥12个月</w:t>
      </w:r>
    </w:p>
    <w:p>
      <w:pPr>
        <w:spacing w:line="360" w:lineRule="auto"/>
        <w:rPr>
          <w:rFonts w:hint="eastAsia" w:ascii="宋体" w:hAnsi="宋体"/>
          <w:sz w:val="24"/>
          <w:lang w:val="en-US" w:eastAsia="zh-CN"/>
        </w:rPr>
      </w:pPr>
    </w:p>
    <w:p>
      <w:pPr>
        <w:spacing w:line="360" w:lineRule="auto"/>
        <w:rPr>
          <w:rFonts w:hint="eastAsia" w:ascii="宋体" w:hAnsi="宋体"/>
          <w:sz w:val="24"/>
          <w:lang w:val="en-US" w:eastAsia="zh-CN"/>
        </w:rPr>
      </w:pPr>
    </w:p>
    <w:p>
      <w:pPr>
        <w:spacing w:line="360" w:lineRule="auto"/>
        <w:rPr>
          <w:rFonts w:hint="eastAsia" w:ascii="宋体" w:hAnsi="宋体"/>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包件二：</w:t>
      </w:r>
    </w:p>
    <w:p>
      <w:pPr>
        <w:pStyle w:val="54"/>
        <w:numPr>
          <w:ilvl w:val="0"/>
          <w:numId w:val="5"/>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Times New Roman"/>
          <w:sz w:val="24"/>
          <w:szCs w:val="24"/>
          <w:lang w:val="en-US" w:eastAsia="zh-CN"/>
        </w:rPr>
        <w:t>项目</w:t>
      </w:r>
      <w:r>
        <w:rPr>
          <w:rFonts w:hint="eastAsia" w:ascii="宋体" w:hAnsi="宋体" w:eastAsia="宋体" w:cs="Times New Roman"/>
          <w:b w:val="0"/>
          <w:bCs w:val="0"/>
          <w:sz w:val="24"/>
          <w:szCs w:val="24"/>
        </w:rPr>
        <w:t>名称：</w:t>
      </w:r>
      <w:r>
        <w:rPr>
          <w:rFonts w:hint="eastAsia" w:ascii="宋体" w:hAnsi="宋体" w:eastAsia="宋体" w:cs="宋体"/>
          <w:kern w:val="0"/>
          <w:sz w:val="24"/>
          <w:szCs w:val="24"/>
          <w:highlight w:val="none"/>
          <w:lang w:val="en-US" w:eastAsia="zh-CN"/>
        </w:rPr>
        <w:t>К轻链检测试剂</w:t>
      </w:r>
    </w:p>
    <w:p>
      <w:pPr>
        <w:pStyle w:val="54"/>
        <w:numPr>
          <w:ilvl w:val="0"/>
          <w:numId w:val="5"/>
        </w:numPr>
        <w:spacing w:line="360" w:lineRule="auto"/>
        <w:ind w:left="-420" w:leftChars="0" w:firstLine="420" w:firstLineChars="0"/>
        <w:rPr>
          <w:rFonts w:ascii="宋体" w:hAnsi="宋体" w:eastAsia="宋体"/>
          <w:b w:val="0"/>
          <w:bCs w:val="0"/>
          <w:sz w:val="24"/>
          <w:szCs w:val="24"/>
        </w:rPr>
      </w:pPr>
      <w:r>
        <w:rPr>
          <w:rFonts w:hint="eastAsia" w:ascii="宋体" w:hAnsi="宋体" w:eastAsia="宋体"/>
          <w:b w:val="0"/>
          <w:bCs w:val="0"/>
          <w:sz w:val="24"/>
          <w:szCs w:val="24"/>
        </w:rPr>
        <w:t>交货时间：</w:t>
      </w:r>
      <w:r>
        <w:rPr>
          <w:rFonts w:hint="eastAsia" w:ascii="宋体" w:hAnsi="宋体" w:eastAsia="宋体"/>
          <w:b w:val="0"/>
          <w:bCs w:val="0"/>
          <w:sz w:val="24"/>
          <w:szCs w:val="24"/>
          <w:lang w:val="en-US" w:eastAsia="zh-CN"/>
        </w:rPr>
        <w:t>买方指定时间</w:t>
      </w:r>
    </w:p>
    <w:p>
      <w:pPr>
        <w:pStyle w:val="54"/>
        <w:numPr>
          <w:ilvl w:val="0"/>
          <w:numId w:val="5"/>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宋体"/>
          <w:b w:val="0"/>
          <w:bCs w:val="0"/>
          <w:sz w:val="24"/>
          <w:szCs w:val="24"/>
        </w:rPr>
        <w:t>货到验收</w:t>
      </w:r>
      <w:r>
        <w:rPr>
          <w:rFonts w:hint="eastAsia" w:ascii="宋体" w:hAnsi="宋体" w:eastAsia="宋体" w:cs="宋体"/>
          <w:b w:val="0"/>
          <w:bCs w:val="0"/>
          <w:sz w:val="24"/>
          <w:szCs w:val="24"/>
          <w:lang w:val="en-US" w:eastAsia="zh-CN"/>
        </w:rPr>
        <w:t>并开具合格发票</w:t>
      </w:r>
      <w:r>
        <w:rPr>
          <w:rFonts w:hint="eastAsia" w:ascii="宋体" w:hAnsi="宋体" w:eastAsia="宋体" w:cs="宋体"/>
          <w:b w:val="0"/>
          <w:bCs w:val="0"/>
          <w:sz w:val="24"/>
          <w:szCs w:val="24"/>
        </w:rPr>
        <w:t>后</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个月内买方支付货款的100%</w:t>
      </w:r>
    </w:p>
    <w:p>
      <w:pPr>
        <w:pStyle w:val="54"/>
        <w:numPr>
          <w:ilvl w:val="0"/>
          <w:numId w:val="5"/>
        </w:numPr>
        <w:spacing w:line="360" w:lineRule="auto"/>
        <w:ind w:left="-420" w:leftChars="0" w:firstLine="420" w:firstLineChars="0"/>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交货地点：</w:t>
      </w:r>
      <w:r>
        <w:rPr>
          <w:rFonts w:hint="eastAsia" w:ascii="宋体" w:hAnsi="宋体" w:eastAsia="宋体"/>
          <w:b w:val="0"/>
          <w:bCs w:val="0"/>
          <w:sz w:val="24"/>
          <w:szCs w:val="24"/>
          <w:lang w:val="en-US" w:eastAsia="zh-CN"/>
        </w:rPr>
        <w:t>买方</w:t>
      </w:r>
      <w:r>
        <w:rPr>
          <w:rFonts w:hint="eastAsia" w:ascii="宋体" w:hAnsi="宋体" w:eastAsia="宋体"/>
          <w:b w:val="0"/>
          <w:bCs w:val="0"/>
          <w:sz w:val="24"/>
          <w:szCs w:val="24"/>
          <w:lang w:eastAsia="zh-CN"/>
        </w:rPr>
        <w:t>指定地点</w:t>
      </w:r>
    </w:p>
    <w:p>
      <w:pPr>
        <w:pStyle w:val="54"/>
        <w:widowControl w:val="0"/>
        <w:numPr>
          <w:ilvl w:val="0"/>
          <w:numId w:val="0"/>
        </w:numPr>
        <w:spacing w:line="360" w:lineRule="auto"/>
        <w:ind w:leftChars="0"/>
        <w:jc w:val="both"/>
        <w:rPr>
          <w:rFonts w:hint="default" w:ascii="宋体" w:hAnsi="宋体" w:eastAsia="宋体"/>
          <w:b w:val="0"/>
          <w:bCs w:val="0"/>
          <w:sz w:val="24"/>
          <w:szCs w:val="24"/>
          <w:lang w:val="en-US" w:eastAsia="zh-CN"/>
        </w:rPr>
      </w:pPr>
      <w:r>
        <w:rPr>
          <w:rFonts w:hint="eastAsia" w:ascii="宋体" w:hAnsi="宋体" w:eastAsia="宋体"/>
          <w:b w:val="0"/>
          <w:bCs w:val="0"/>
          <w:sz w:val="24"/>
          <w:szCs w:val="24"/>
          <w:lang w:val="en-US" w:eastAsia="zh-CN"/>
        </w:rPr>
        <w:t>五、</w:t>
      </w:r>
      <w:r>
        <w:rPr>
          <w:rFonts w:hint="eastAsia" w:ascii="宋体" w:hAnsi="宋体" w:eastAsia="宋体"/>
          <w:b w:val="0"/>
          <w:bCs w:val="0"/>
          <w:sz w:val="24"/>
          <w:szCs w:val="24"/>
        </w:rPr>
        <w:t>技术指标要求</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rPr>
      </w:pPr>
      <w:r>
        <w:rPr>
          <w:rFonts w:hint="eastAsia" w:ascii="宋体" w:hAnsi="宋体" w:eastAsia="宋体" w:cs="宋体"/>
          <w:sz w:val="24"/>
        </w:rPr>
        <w:t>★样本类型</w:t>
      </w:r>
      <w:r>
        <w:rPr>
          <w:rFonts w:hint="eastAsia" w:ascii="宋体" w:hAnsi="宋体" w:eastAsia="宋体" w:cs="宋体"/>
          <w:sz w:val="24"/>
          <w:lang w:eastAsia="zh-CN"/>
        </w:rPr>
        <w:t>：</w:t>
      </w:r>
      <w:r>
        <w:rPr>
          <w:rFonts w:hint="eastAsia" w:ascii="宋体" w:hAnsi="宋体" w:eastAsia="宋体" w:cs="宋体"/>
          <w:sz w:val="24"/>
        </w:rPr>
        <w:t>新鲜血清</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rPr>
      </w:pPr>
      <w:r>
        <w:rPr>
          <w:rFonts w:hint="eastAsia" w:ascii="宋体" w:hAnsi="宋体" w:eastAsia="宋体" w:cs="宋体"/>
          <w:sz w:val="24"/>
        </w:rPr>
        <w:t>适用机型</w:t>
      </w:r>
      <w:r>
        <w:rPr>
          <w:rFonts w:hint="eastAsia" w:ascii="宋体" w:hAnsi="宋体" w:eastAsia="宋体" w:cs="宋体"/>
          <w:sz w:val="24"/>
          <w:lang w:eastAsia="zh-CN"/>
        </w:rPr>
        <w:t>：</w:t>
      </w:r>
      <w:r>
        <w:rPr>
          <w:rFonts w:hint="eastAsia" w:ascii="宋体" w:hAnsi="宋体" w:eastAsia="宋体" w:cs="宋体"/>
          <w:sz w:val="24"/>
        </w:rPr>
        <w:t>适用各类全自动生化分析仪</w:t>
      </w:r>
    </w:p>
    <w:p>
      <w:pPr>
        <w:numPr>
          <w:ilvl w:val="0"/>
          <w:numId w:val="6"/>
        </w:numPr>
        <w:spacing w:line="360" w:lineRule="auto"/>
        <w:ind w:left="425" w:leftChars="0" w:hanging="425" w:firstLineChars="0"/>
        <w:rPr>
          <w:rFonts w:hint="eastAsia" w:ascii="宋体" w:hAnsi="宋体" w:eastAsia="宋体" w:cs="宋体"/>
          <w:sz w:val="24"/>
        </w:rPr>
      </w:pPr>
      <w:r>
        <w:rPr>
          <w:rFonts w:hint="eastAsia" w:ascii="宋体" w:hAnsi="宋体" w:eastAsia="宋体" w:cs="宋体"/>
          <w:sz w:val="24"/>
        </w:rPr>
        <w:t>准确度</w:t>
      </w:r>
      <w:r>
        <w:rPr>
          <w:rFonts w:hint="eastAsia" w:ascii="宋体" w:hAnsi="宋体" w:eastAsia="宋体" w:cs="宋体"/>
          <w:sz w:val="24"/>
          <w:lang w:eastAsia="zh-CN"/>
        </w:rPr>
        <w:t>：</w:t>
      </w:r>
      <w:r>
        <w:rPr>
          <w:rFonts w:hint="eastAsia" w:ascii="宋体" w:hAnsi="宋体" w:eastAsia="宋体" w:cs="宋体"/>
          <w:sz w:val="24"/>
        </w:rPr>
        <w:t>相对偏差应不超过±10%</w:t>
      </w:r>
    </w:p>
    <w:p>
      <w:pPr>
        <w:numPr>
          <w:ilvl w:val="0"/>
          <w:numId w:val="6"/>
        </w:numPr>
        <w:spacing w:line="360" w:lineRule="auto"/>
        <w:ind w:left="425" w:leftChars="0" w:hanging="425" w:firstLineChars="0"/>
        <w:rPr>
          <w:rFonts w:hint="eastAsia" w:ascii="宋体" w:hAnsi="宋体" w:eastAsia="宋体" w:cs="宋体"/>
          <w:sz w:val="24"/>
        </w:rPr>
      </w:pPr>
      <w:r>
        <w:rPr>
          <w:rFonts w:hint="eastAsia" w:ascii="宋体" w:hAnsi="宋体" w:eastAsia="宋体" w:cs="宋体"/>
          <w:sz w:val="24"/>
        </w:rPr>
        <w:t>精密度</w:t>
      </w:r>
      <w:r>
        <w:rPr>
          <w:rFonts w:hint="eastAsia" w:ascii="宋体" w:hAnsi="宋体" w:eastAsia="宋体" w:cs="宋体"/>
          <w:sz w:val="24"/>
          <w:lang w:eastAsia="zh-CN"/>
        </w:rPr>
        <w:t>：</w:t>
      </w:r>
      <w:r>
        <w:rPr>
          <w:rFonts w:hint="eastAsia" w:ascii="宋体" w:hAnsi="宋体" w:eastAsia="宋体" w:cs="宋体"/>
          <w:sz w:val="24"/>
        </w:rPr>
        <w:t>CV≤10%</w:t>
      </w:r>
    </w:p>
    <w:p>
      <w:pPr>
        <w:numPr>
          <w:ilvl w:val="0"/>
          <w:numId w:val="6"/>
        </w:numPr>
        <w:spacing w:line="360" w:lineRule="auto"/>
        <w:ind w:left="425" w:leftChars="0" w:hanging="425" w:firstLineChars="0"/>
        <w:rPr>
          <w:rFonts w:hint="eastAsia" w:ascii="宋体" w:hAnsi="宋体" w:eastAsia="宋体" w:cs="宋体"/>
          <w:sz w:val="24"/>
        </w:rPr>
      </w:pPr>
      <w:r>
        <w:rPr>
          <w:rFonts w:hint="eastAsia" w:ascii="宋体" w:hAnsi="宋体" w:eastAsia="宋体" w:cs="宋体"/>
          <w:sz w:val="24"/>
        </w:rPr>
        <w:t>线性范围</w:t>
      </w:r>
      <w:r>
        <w:rPr>
          <w:rFonts w:hint="eastAsia" w:ascii="宋体" w:hAnsi="宋体" w:eastAsia="宋体" w:cs="宋体"/>
          <w:sz w:val="24"/>
          <w:lang w:eastAsia="zh-CN"/>
        </w:rPr>
        <w:t>：</w:t>
      </w:r>
      <w:r>
        <w:rPr>
          <w:rFonts w:hint="eastAsia" w:ascii="宋体" w:hAnsi="宋体" w:eastAsia="宋体" w:cs="宋体"/>
          <w:sz w:val="24"/>
        </w:rPr>
        <w:t>相对偏差应不超过±10%</w:t>
      </w:r>
    </w:p>
    <w:p>
      <w:pPr>
        <w:numPr>
          <w:ilvl w:val="0"/>
          <w:numId w:val="6"/>
        </w:numPr>
        <w:spacing w:line="360" w:lineRule="auto"/>
        <w:ind w:left="425" w:leftChars="0" w:hanging="425" w:firstLineChars="0"/>
        <w:rPr>
          <w:rFonts w:hint="eastAsia" w:ascii="宋体" w:hAnsi="宋体" w:eastAsia="宋体" w:cs="宋体"/>
          <w:sz w:val="24"/>
        </w:rPr>
      </w:pPr>
      <w:r>
        <w:rPr>
          <w:rFonts w:hint="eastAsia" w:ascii="宋体" w:hAnsi="宋体" w:eastAsia="宋体" w:cs="宋体"/>
          <w:sz w:val="24"/>
        </w:rPr>
        <w:t>抗干扰</w:t>
      </w:r>
      <w:r>
        <w:rPr>
          <w:rFonts w:hint="eastAsia" w:ascii="宋体" w:hAnsi="宋体" w:eastAsia="宋体" w:cs="宋体"/>
          <w:sz w:val="24"/>
          <w:lang w:eastAsia="zh-CN"/>
        </w:rPr>
        <w:t>：</w:t>
      </w:r>
      <w:r>
        <w:rPr>
          <w:rFonts w:hint="eastAsia" w:ascii="宋体" w:hAnsi="宋体" w:eastAsia="宋体" w:cs="宋体"/>
          <w:sz w:val="24"/>
        </w:rPr>
        <w:t>胆红素≤60mg/dL、血红蛋白≤500 mg/dL、类风湿因子≤300IU//mL、脂肪乳≤5‰ 不会显著影响测定结果（相对偏差不超过±10%）</w:t>
      </w:r>
    </w:p>
    <w:p>
      <w:pPr>
        <w:numPr>
          <w:ilvl w:val="0"/>
          <w:numId w:val="6"/>
        </w:numPr>
        <w:autoSpaceDE w:val="0"/>
        <w:autoSpaceDN w:val="0"/>
        <w:spacing w:line="360" w:lineRule="auto"/>
        <w:ind w:left="425" w:leftChars="0" w:hanging="425" w:firstLineChars="0"/>
        <w:textAlignment w:val="bottom"/>
        <w:rPr>
          <w:rFonts w:hint="eastAsia" w:ascii="宋体" w:hAnsi="宋体" w:eastAsia="宋体" w:cs="宋体"/>
          <w:sz w:val="24"/>
        </w:rPr>
      </w:pPr>
      <w:r>
        <w:rPr>
          <w:rFonts w:hint="eastAsia" w:ascii="宋体" w:hAnsi="宋体" w:eastAsia="宋体" w:cs="宋体"/>
          <w:sz w:val="24"/>
        </w:rPr>
        <w:t>★参考区间</w:t>
      </w:r>
      <w:r>
        <w:rPr>
          <w:rFonts w:hint="eastAsia" w:ascii="宋体" w:hAnsi="宋体" w:eastAsia="宋体" w:cs="宋体"/>
          <w:sz w:val="24"/>
          <w:lang w:eastAsia="zh-CN"/>
        </w:rPr>
        <w:t>：</w:t>
      </w:r>
      <w:r>
        <w:rPr>
          <w:rFonts w:hint="eastAsia" w:ascii="宋体" w:hAnsi="宋体" w:eastAsia="宋体" w:cs="宋体"/>
          <w:sz w:val="24"/>
        </w:rPr>
        <w:t>1.</w:t>
      </w:r>
      <w:r>
        <w:rPr>
          <w:rFonts w:hint="eastAsia" w:ascii="宋体" w:hAnsi="宋体" w:eastAsia="宋体" w:cs="宋体"/>
          <w:sz w:val="24"/>
          <w:lang w:val="en-US" w:eastAsia="zh-CN"/>
        </w:rPr>
        <w:t>0</w:t>
      </w:r>
      <w:r>
        <w:rPr>
          <w:rFonts w:hint="eastAsia" w:ascii="宋体" w:hAnsi="宋体" w:eastAsia="宋体" w:cs="宋体"/>
          <w:sz w:val="24"/>
        </w:rPr>
        <w:t>-</w:t>
      </w:r>
      <w:r>
        <w:rPr>
          <w:rFonts w:hint="eastAsia" w:ascii="宋体" w:hAnsi="宋体" w:eastAsia="宋体" w:cs="宋体"/>
          <w:sz w:val="24"/>
          <w:lang w:val="en-US" w:eastAsia="zh-CN"/>
        </w:rPr>
        <w:t>4</w:t>
      </w:r>
      <w:r>
        <w:rPr>
          <w:rFonts w:hint="eastAsia" w:ascii="宋体" w:hAnsi="宋体" w:eastAsia="宋体" w:cs="宋体"/>
          <w:sz w:val="24"/>
        </w:rPr>
        <w:t>.</w:t>
      </w:r>
      <w:r>
        <w:rPr>
          <w:rFonts w:hint="eastAsia" w:ascii="宋体" w:hAnsi="宋体" w:eastAsia="宋体" w:cs="宋体"/>
          <w:sz w:val="24"/>
          <w:lang w:val="en-US" w:eastAsia="zh-CN"/>
        </w:rPr>
        <w:t>0</w:t>
      </w:r>
      <w:r>
        <w:rPr>
          <w:rFonts w:hint="eastAsia" w:ascii="宋体" w:hAnsi="宋体" w:eastAsia="宋体" w:cs="宋体"/>
          <w:sz w:val="24"/>
        </w:rPr>
        <w:t xml:space="preserve"> g/L</w:t>
      </w:r>
    </w:p>
    <w:p>
      <w:pPr>
        <w:numPr>
          <w:ilvl w:val="0"/>
          <w:numId w:val="6"/>
        </w:numPr>
        <w:spacing w:line="360" w:lineRule="auto"/>
        <w:ind w:left="425" w:leftChars="0" w:hanging="425" w:firstLineChars="0"/>
        <w:rPr>
          <w:rFonts w:hint="eastAsia" w:ascii="宋体" w:hAnsi="宋体" w:eastAsia="宋体" w:cs="宋体"/>
          <w:sz w:val="24"/>
        </w:rPr>
      </w:pPr>
      <w:r>
        <w:rPr>
          <w:rFonts w:hint="eastAsia" w:ascii="宋体" w:hAnsi="宋体" w:eastAsia="宋体" w:cs="宋体"/>
          <w:sz w:val="24"/>
        </w:rPr>
        <w:t>配送方式</w:t>
      </w:r>
      <w:r>
        <w:rPr>
          <w:rFonts w:hint="eastAsia" w:ascii="宋体" w:hAnsi="宋体" w:eastAsia="宋体" w:cs="宋体"/>
          <w:sz w:val="24"/>
          <w:lang w:eastAsia="zh-CN"/>
        </w:rPr>
        <w:t>：</w:t>
      </w:r>
      <w:r>
        <w:rPr>
          <w:rFonts w:hint="eastAsia" w:ascii="宋体" w:hAnsi="宋体" w:eastAsia="宋体" w:cs="宋体"/>
          <w:sz w:val="24"/>
        </w:rPr>
        <w:t>冷链运输（2-8℃储存），提供符合国家新冠疫情防疫要求的相关制度及管理方案</w:t>
      </w:r>
    </w:p>
    <w:p>
      <w:pPr>
        <w:numPr>
          <w:ilvl w:val="0"/>
          <w:numId w:val="6"/>
        </w:numPr>
        <w:spacing w:line="360" w:lineRule="auto"/>
        <w:ind w:left="425" w:leftChars="0" w:hanging="425" w:firstLineChars="0"/>
        <w:rPr>
          <w:rFonts w:hint="eastAsia" w:ascii="宋体" w:hAnsi="宋体" w:eastAsia="宋体" w:cs="宋体"/>
          <w:sz w:val="24"/>
          <w:lang w:eastAsia="zh-CN"/>
        </w:rPr>
      </w:pPr>
      <w:r>
        <w:rPr>
          <w:rFonts w:hint="eastAsia" w:ascii="宋体" w:hAnsi="宋体" w:eastAsia="宋体" w:cs="宋体"/>
          <w:sz w:val="24"/>
        </w:rPr>
        <w:t>有效期</w:t>
      </w:r>
      <w:r>
        <w:rPr>
          <w:rFonts w:hint="eastAsia" w:ascii="宋体" w:hAnsi="宋体" w:eastAsia="宋体" w:cs="宋体"/>
          <w:sz w:val="24"/>
          <w:lang w:eastAsia="zh-CN"/>
        </w:rPr>
        <w:t>：</w:t>
      </w:r>
      <w:r>
        <w:rPr>
          <w:rFonts w:hint="eastAsia" w:ascii="宋体" w:hAnsi="宋体" w:eastAsia="宋体" w:cs="宋体"/>
          <w:sz w:val="24"/>
        </w:rPr>
        <w:t>≥12个月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sz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sz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sz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Times New Roman"/>
          <w:b/>
          <w:sz w:val="28"/>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包件三：</w:t>
      </w:r>
    </w:p>
    <w:p>
      <w:pPr>
        <w:pStyle w:val="54"/>
        <w:numPr>
          <w:ilvl w:val="0"/>
          <w:numId w:val="7"/>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Times New Roman"/>
          <w:sz w:val="24"/>
          <w:szCs w:val="24"/>
          <w:lang w:val="en-US" w:eastAsia="zh-CN"/>
        </w:rPr>
        <w:t>项目</w:t>
      </w:r>
      <w:r>
        <w:rPr>
          <w:rFonts w:hint="eastAsia" w:ascii="宋体" w:hAnsi="宋体" w:eastAsia="宋体" w:cs="Times New Roman"/>
          <w:b w:val="0"/>
          <w:bCs w:val="0"/>
          <w:sz w:val="24"/>
          <w:szCs w:val="24"/>
        </w:rPr>
        <w:t>名称：</w:t>
      </w:r>
      <w:r>
        <w:rPr>
          <w:rFonts w:hint="eastAsia" w:ascii="宋体" w:hAnsi="宋体" w:eastAsia="宋体" w:cs="宋体"/>
          <w:kern w:val="0"/>
          <w:sz w:val="24"/>
          <w:szCs w:val="24"/>
          <w:highlight w:val="none"/>
          <w:lang w:val="en-US" w:eastAsia="zh-CN"/>
        </w:rPr>
        <w:t>λ轻链检测试剂</w:t>
      </w:r>
    </w:p>
    <w:p>
      <w:pPr>
        <w:pStyle w:val="54"/>
        <w:numPr>
          <w:ilvl w:val="0"/>
          <w:numId w:val="7"/>
        </w:numPr>
        <w:spacing w:line="360" w:lineRule="auto"/>
        <w:ind w:left="-420" w:leftChars="0" w:firstLine="420" w:firstLineChars="0"/>
        <w:rPr>
          <w:rFonts w:ascii="宋体" w:hAnsi="宋体" w:eastAsia="宋体"/>
          <w:b w:val="0"/>
          <w:bCs w:val="0"/>
          <w:sz w:val="24"/>
          <w:szCs w:val="24"/>
        </w:rPr>
      </w:pPr>
      <w:r>
        <w:rPr>
          <w:rFonts w:hint="eastAsia" w:ascii="宋体" w:hAnsi="宋体" w:eastAsia="宋体"/>
          <w:b w:val="0"/>
          <w:bCs w:val="0"/>
          <w:sz w:val="24"/>
          <w:szCs w:val="24"/>
        </w:rPr>
        <w:t>交货时间：</w:t>
      </w:r>
      <w:r>
        <w:rPr>
          <w:rFonts w:hint="eastAsia" w:ascii="宋体" w:hAnsi="宋体" w:eastAsia="宋体"/>
          <w:b w:val="0"/>
          <w:bCs w:val="0"/>
          <w:sz w:val="24"/>
          <w:szCs w:val="24"/>
          <w:lang w:val="en-US" w:eastAsia="zh-CN"/>
        </w:rPr>
        <w:t>买方指定时间</w:t>
      </w:r>
    </w:p>
    <w:p>
      <w:pPr>
        <w:pStyle w:val="54"/>
        <w:numPr>
          <w:ilvl w:val="0"/>
          <w:numId w:val="7"/>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宋体"/>
          <w:b w:val="0"/>
          <w:bCs w:val="0"/>
          <w:sz w:val="24"/>
          <w:szCs w:val="24"/>
        </w:rPr>
        <w:t>货到验收</w:t>
      </w:r>
      <w:r>
        <w:rPr>
          <w:rFonts w:hint="eastAsia" w:ascii="宋体" w:hAnsi="宋体" w:eastAsia="宋体" w:cs="宋体"/>
          <w:b w:val="0"/>
          <w:bCs w:val="0"/>
          <w:sz w:val="24"/>
          <w:szCs w:val="24"/>
          <w:lang w:val="en-US" w:eastAsia="zh-CN"/>
        </w:rPr>
        <w:t>并开具合格发票</w:t>
      </w:r>
      <w:r>
        <w:rPr>
          <w:rFonts w:hint="eastAsia" w:ascii="宋体" w:hAnsi="宋体" w:eastAsia="宋体" w:cs="宋体"/>
          <w:b w:val="0"/>
          <w:bCs w:val="0"/>
          <w:sz w:val="24"/>
          <w:szCs w:val="24"/>
        </w:rPr>
        <w:t>后</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个月内买方支付货款的100%</w:t>
      </w:r>
    </w:p>
    <w:p>
      <w:pPr>
        <w:pStyle w:val="54"/>
        <w:numPr>
          <w:ilvl w:val="0"/>
          <w:numId w:val="7"/>
        </w:numPr>
        <w:spacing w:line="360" w:lineRule="auto"/>
        <w:ind w:left="-420" w:leftChars="0" w:firstLine="420" w:firstLineChars="0"/>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交货地点：</w:t>
      </w:r>
      <w:r>
        <w:rPr>
          <w:rFonts w:hint="eastAsia" w:ascii="宋体" w:hAnsi="宋体" w:eastAsia="宋体"/>
          <w:b w:val="0"/>
          <w:bCs w:val="0"/>
          <w:sz w:val="24"/>
          <w:szCs w:val="24"/>
          <w:lang w:val="en-US" w:eastAsia="zh-CN"/>
        </w:rPr>
        <w:t>买方</w:t>
      </w:r>
      <w:r>
        <w:rPr>
          <w:rFonts w:hint="eastAsia" w:ascii="宋体" w:hAnsi="宋体" w:eastAsia="宋体"/>
          <w:b w:val="0"/>
          <w:bCs w:val="0"/>
          <w:sz w:val="24"/>
          <w:szCs w:val="24"/>
          <w:lang w:eastAsia="zh-CN"/>
        </w:rPr>
        <w:t>指定地点</w:t>
      </w:r>
    </w:p>
    <w:p>
      <w:pPr>
        <w:pStyle w:val="54"/>
        <w:widowControl w:val="0"/>
        <w:numPr>
          <w:ilvl w:val="0"/>
          <w:numId w:val="0"/>
        </w:numPr>
        <w:spacing w:line="360" w:lineRule="auto"/>
        <w:ind w:leftChars="0"/>
        <w:jc w:val="both"/>
        <w:rPr>
          <w:rFonts w:hint="default" w:ascii="宋体" w:hAnsi="宋体" w:eastAsia="宋体"/>
          <w:b w:val="0"/>
          <w:bCs w:val="0"/>
          <w:sz w:val="24"/>
          <w:szCs w:val="24"/>
          <w:lang w:val="en-US" w:eastAsia="zh-CN"/>
        </w:rPr>
      </w:pPr>
      <w:r>
        <w:rPr>
          <w:rFonts w:hint="eastAsia" w:ascii="宋体" w:hAnsi="宋体" w:eastAsia="宋体"/>
          <w:b w:val="0"/>
          <w:bCs w:val="0"/>
          <w:sz w:val="24"/>
          <w:szCs w:val="24"/>
          <w:lang w:val="en-US" w:eastAsia="zh-CN"/>
        </w:rPr>
        <w:t>五、</w:t>
      </w:r>
      <w:r>
        <w:rPr>
          <w:rFonts w:hint="eastAsia" w:ascii="宋体" w:hAnsi="宋体" w:eastAsia="宋体"/>
          <w:b w:val="0"/>
          <w:bCs w:val="0"/>
          <w:sz w:val="24"/>
          <w:szCs w:val="24"/>
        </w:rPr>
        <w:t>技术指标要求</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★样本类型</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新鲜血清</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适用机型</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适用各类全自动生化分析仪</w:t>
      </w:r>
    </w:p>
    <w:p>
      <w:pPr>
        <w:numPr>
          <w:ilvl w:val="0"/>
          <w:numId w:val="8"/>
        </w:numPr>
        <w:spacing w:line="360" w:lineRule="auto"/>
        <w:ind w:left="42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准确度</w:t>
      </w:r>
      <w:r>
        <w:rPr>
          <w:rFonts w:hint="eastAsia" w:ascii="宋体" w:hAnsi="宋体" w:eastAsia="宋体" w:cs="宋体"/>
          <w:b w:val="0"/>
          <w:bCs w:val="0"/>
          <w:sz w:val="24"/>
          <w:szCs w:val="24"/>
          <w:lang w:eastAsia="zh-CN"/>
        </w:rPr>
        <w:t>：</w:t>
      </w:r>
      <w:r>
        <w:rPr>
          <w:rFonts w:hint="eastAsia" w:ascii="宋体" w:hAnsi="宋体" w:eastAsia="宋体" w:cs="宋体"/>
          <w:sz w:val="24"/>
        </w:rPr>
        <w:t>相对偏差应不超过±10%</w:t>
      </w:r>
    </w:p>
    <w:p>
      <w:pPr>
        <w:numPr>
          <w:ilvl w:val="0"/>
          <w:numId w:val="8"/>
        </w:numPr>
        <w:spacing w:line="360" w:lineRule="auto"/>
        <w:ind w:left="42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精密度</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CV≤10%</w:t>
      </w:r>
    </w:p>
    <w:p>
      <w:pPr>
        <w:numPr>
          <w:ilvl w:val="0"/>
          <w:numId w:val="8"/>
        </w:numPr>
        <w:spacing w:line="360" w:lineRule="auto"/>
        <w:ind w:left="42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线性范围</w:t>
      </w:r>
      <w:r>
        <w:rPr>
          <w:rFonts w:hint="eastAsia" w:ascii="宋体" w:hAnsi="宋体" w:eastAsia="宋体" w:cs="宋体"/>
          <w:b w:val="0"/>
          <w:bCs w:val="0"/>
          <w:sz w:val="24"/>
          <w:szCs w:val="24"/>
          <w:lang w:eastAsia="zh-CN"/>
        </w:rPr>
        <w:t>：</w:t>
      </w:r>
      <w:r>
        <w:rPr>
          <w:rFonts w:hint="eastAsia" w:ascii="宋体" w:hAnsi="宋体" w:eastAsia="宋体" w:cs="宋体"/>
          <w:sz w:val="24"/>
        </w:rPr>
        <w:t>相对偏差应不超过±10%</w:t>
      </w:r>
    </w:p>
    <w:p>
      <w:pPr>
        <w:numPr>
          <w:ilvl w:val="0"/>
          <w:numId w:val="8"/>
        </w:numPr>
        <w:spacing w:line="360" w:lineRule="auto"/>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抗干扰：</w:t>
      </w:r>
      <w:r>
        <w:rPr>
          <w:rFonts w:hint="eastAsia" w:ascii="宋体" w:hAnsi="宋体" w:eastAsia="宋体" w:cs="宋体"/>
          <w:sz w:val="24"/>
        </w:rPr>
        <w:t>胆红素≤60mg/dL、血红蛋白≤500 mg/dL、类风湿因子≤300IU//mL、脂肪乳（Intralipid）≤5‰ 则不会显著影响测定结果（相对偏差不超过±10%）</w:t>
      </w:r>
    </w:p>
    <w:p>
      <w:pPr>
        <w:numPr>
          <w:ilvl w:val="0"/>
          <w:numId w:val="8"/>
        </w:numPr>
        <w:autoSpaceDE w:val="0"/>
        <w:autoSpaceDN w:val="0"/>
        <w:spacing w:line="360" w:lineRule="auto"/>
        <w:ind w:left="425" w:leftChars="0" w:hanging="425" w:firstLineChars="0"/>
        <w:textAlignment w:val="bottom"/>
        <w:rPr>
          <w:rFonts w:hint="eastAsia" w:ascii="宋体" w:hAnsi="宋体" w:eastAsia="宋体" w:cs="宋体"/>
          <w:b w:val="0"/>
          <w:bCs w:val="0"/>
          <w:sz w:val="24"/>
          <w:szCs w:val="24"/>
        </w:rPr>
      </w:pPr>
      <w:r>
        <w:rPr>
          <w:rFonts w:hint="eastAsia" w:ascii="宋体" w:hAnsi="宋体" w:eastAsia="宋体" w:cs="宋体"/>
          <w:b w:val="0"/>
          <w:bCs w:val="0"/>
          <w:sz w:val="24"/>
          <w:szCs w:val="24"/>
        </w:rPr>
        <w:t>★参考区间</w:t>
      </w:r>
      <w:r>
        <w:rPr>
          <w:rFonts w:hint="eastAsia" w:ascii="宋体" w:hAnsi="宋体" w:eastAsia="宋体" w:cs="宋体"/>
          <w:b w:val="0"/>
          <w:bCs w:val="0"/>
          <w:sz w:val="24"/>
          <w:szCs w:val="24"/>
          <w:lang w:eastAsia="zh-CN"/>
        </w:rPr>
        <w:t>：</w:t>
      </w:r>
      <w:r>
        <w:rPr>
          <w:rFonts w:hint="eastAsia" w:ascii="宋体" w:hAnsi="宋体" w:eastAsia="宋体" w:cs="宋体"/>
          <w:sz w:val="24"/>
        </w:rPr>
        <w:t>0.</w:t>
      </w:r>
      <w:r>
        <w:rPr>
          <w:rFonts w:hint="eastAsia" w:ascii="宋体" w:hAnsi="宋体" w:eastAsia="宋体" w:cs="宋体"/>
          <w:sz w:val="24"/>
          <w:lang w:val="en-US" w:eastAsia="zh-CN"/>
        </w:rPr>
        <w:t>50</w:t>
      </w: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w:t>
      </w:r>
      <w:r>
        <w:rPr>
          <w:rFonts w:hint="eastAsia" w:ascii="宋体" w:hAnsi="宋体" w:eastAsia="宋体" w:cs="宋体"/>
          <w:sz w:val="24"/>
          <w:lang w:val="en-US" w:eastAsia="zh-CN"/>
        </w:rPr>
        <w:t>00</w:t>
      </w:r>
      <w:r>
        <w:rPr>
          <w:rFonts w:hint="eastAsia" w:ascii="宋体" w:hAnsi="宋体" w:eastAsia="宋体" w:cs="宋体"/>
          <w:sz w:val="24"/>
        </w:rPr>
        <w:t>g/L，</w:t>
      </w:r>
      <w:bookmarkStart w:id="16" w:name="_Hlk20491933"/>
      <w:r>
        <w:rPr>
          <w:rFonts w:hint="eastAsia" w:ascii="宋体" w:hAnsi="宋体" w:eastAsia="宋体" w:cs="宋体"/>
          <w:sz w:val="24"/>
        </w:rPr>
        <w:t>κ/λ比率：1.</w:t>
      </w:r>
      <w:r>
        <w:rPr>
          <w:rFonts w:hint="eastAsia" w:ascii="宋体" w:hAnsi="宋体" w:eastAsia="宋体" w:cs="宋体"/>
          <w:sz w:val="24"/>
          <w:lang w:val="en-US" w:eastAsia="zh-CN"/>
        </w:rPr>
        <w:t>00</w:t>
      </w: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w:t>
      </w:r>
      <w:bookmarkEnd w:id="16"/>
      <w:r>
        <w:rPr>
          <w:rFonts w:hint="eastAsia" w:ascii="宋体" w:hAnsi="宋体" w:eastAsia="宋体" w:cs="宋体"/>
          <w:sz w:val="24"/>
          <w:lang w:val="en-US" w:eastAsia="zh-CN"/>
        </w:rPr>
        <w:t>00</w:t>
      </w:r>
    </w:p>
    <w:p>
      <w:pPr>
        <w:numPr>
          <w:ilvl w:val="0"/>
          <w:numId w:val="8"/>
        </w:numPr>
        <w:spacing w:line="360" w:lineRule="auto"/>
        <w:ind w:left="42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配送方式</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冷链运输（2-8℃储存），提供符合国家新冠疫情防疫要求的相关制度及管理方案</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有效期</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≥12个月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包件四：</w:t>
      </w:r>
    </w:p>
    <w:p>
      <w:pPr>
        <w:pStyle w:val="54"/>
        <w:numPr>
          <w:ilvl w:val="0"/>
          <w:numId w:val="9"/>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Times New Roman"/>
          <w:sz w:val="24"/>
          <w:szCs w:val="24"/>
          <w:lang w:val="en-US" w:eastAsia="zh-CN"/>
        </w:rPr>
        <w:t>项目</w:t>
      </w:r>
      <w:r>
        <w:rPr>
          <w:rFonts w:hint="eastAsia" w:ascii="宋体" w:hAnsi="宋体" w:eastAsia="宋体" w:cs="Times New Roman"/>
          <w:b w:val="0"/>
          <w:bCs w:val="0"/>
          <w:sz w:val="24"/>
          <w:szCs w:val="24"/>
        </w:rPr>
        <w:t>名称：</w:t>
      </w:r>
      <w:r>
        <w:rPr>
          <w:rFonts w:hint="eastAsia" w:ascii="宋体" w:hAnsi="宋体" w:eastAsia="宋体" w:cs="宋体"/>
          <w:kern w:val="0"/>
          <w:sz w:val="24"/>
          <w:szCs w:val="24"/>
          <w:highlight w:val="none"/>
          <w:lang w:val="en-US" w:eastAsia="zh-CN"/>
        </w:rPr>
        <w:t>游离脂肪酸测定试剂盒</w:t>
      </w:r>
    </w:p>
    <w:p>
      <w:pPr>
        <w:pStyle w:val="54"/>
        <w:numPr>
          <w:ilvl w:val="0"/>
          <w:numId w:val="9"/>
        </w:numPr>
        <w:spacing w:line="360" w:lineRule="auto"/>
        <w:ind w:left="-420" w:leftChars="0" w:firstLine="420" w:firstLineChars="0"/>
        <w:rPr>
          <w:rFonts w:ascii="宋体" w:hAnsi="宋体" w:eastAsia="宋体"/>
          <w:b w:val="0"/>
          <w:bCs w:val="0"/>
          <w:sz w:val="24"/>
          <w:szCs w:val="24"/>
        </w:rPr>
      </w:pPr>
      <w:r>
        <w:rPr>
          <w:rFonts w:hint="eastAsia" w:ascii="宋体" w:hAnsi="宋体" w:eastAsia="宋体"/>
          <w:b w:val="0"/>
          <w:bCs w:val="0"/>
          <w:sz w:val="24"/>
          <w:szCs w:val="24"/>
        </w:rPr>
        <w:t>交货时间：</w:t>
      </w:r>
      <w:r>
        <w:rPr>
          <w:rFonts w:hint="eastAsia" w:ascii="宋体" w:hAnsi="宋体" w:eastAsia="宋体"/>
          <w:b w:val="0"/>
          <w:bCs w:val="0"/>
          <w:sz w:val="24"/>
          <w:szCs w:val="24"/>
          <w:lang w:val="en-US" w:eastAsia="zh-CN"/>
        </w:rPr>
        <w:t>买方指定时间</w:t>
      </w:r>
    </w:p>
    <w:p>
      <w:pPr>
        <w:pStyle w:val="54"/>
        <w:numPr>
          <w:ilvl w:val="0"/>
          <w:numId w:val="9"/>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宋体"/>
          <w:b w:val="0"/>
          <w:bCs w:val="0"/>
          <w:sz w:val="24"/>
          <w:szCs w:val="24"/>
        </w:rPr>
        <w:t>货到验收</w:t>
      </w:r>
      <w:r>
        <w:rPr>
          <w:rFonts w:hint="eastAsia" w:ascii="宋体" w:hAnsi="宋体" w:eastAsia="宋体" w:cs="宋体"/>
          <w:b w:val="0"/>
          <w:bCs w:val="0"/>
          <w:sz w:val="24"/>
          <w:szCs w:val="24"/>
          <w:lang w:val="en-US" w:eastAsia="zh-CN"/>
        </w:rPr>
        <w:t>并开具合格发票</w:t>
      </w:r>
      <w:r>
        <w:rPr>
          <w:rFonts w:hint="eastAsia" w:ascii="宋体" w:hAnsi="宋体" w:eastAsia="宋体" w:cs="宋体"/>
          <w:b w:val="0"/>
          <w:bCs w:val="0"/>
          <w:sz w:val="24"/>
          <w:szCs w:val="24"/>
        </w:rPr>
        <w:t>后</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个月内买方支付货款的100%</w:t>
      </w:r>
    </w:p>
    <w:p>
      <w:pPr>
        <w:pStyle w:val="54"/>
        <w:numPr>
          <w:ilvl w:val="0"/>
          <w:numId w:val="9"/>
        </w:numPr>
        <w:spacing w:line="360" w:lineRule="auto"/>
        <w:ind w:left="-420" w:leftChars="0" w:firstLine="420" w:firstLineChars="0"/>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交货地点：</w:t>
      </w:r>
      <w:r>
        <w:rPr>
          <w:rFonts w:hint="eastAsia" w:ascii="宋体" w:hAnsi="宋体" w:eastAsia="宋体"/>
          <w:b w:val="0"/>
          <w:bCs w:val="0"/>
          <w:sz w:val="24"/>
          <w:szCs w:val="24"/>
          <w:lang w:val="en-US" w:eastAsia="zh-CN"/>
        </w:rPr>
        <w:t>买方</w:t>
      </w:r>
      <w:r>
        <w:rPr>
          <w:rFonts w:hint="eastAsia" w:ascii="宋体" w:hAnsi="宋体" w:eastAsia="宋体"/>
          <w:b w:val="0"/>
          <w:bCs w:val="0"/>
          <w:sz w:val="24"/>
          <w:szCs w:val="24"/>
          <w:lang w:eastAsia="zh-CN"/>
        </w:rPr>
        <w:t>指定地点</w:t>
      </w:r>
    </w:p>
    <w:p>
      <w:pPr>
        <w:pStyle w:val="54"/>
        <w:widowControl w:val="0"/>
        <w:numPr>
          <w:ilvl w:val="0"/>
          <w:numId w:val="9"/>
        </w:numPr>
        <w:spacing w:line="360" w:lineRule="auto"/>
        <w:ind w:left="-420" w:leftChars="0" w:firstLine="420" w:firstLineChars="0"/>
        <w:jc w:val="both"/>
        <w:rPr>
          <w:rFonts w:hint="eastAsia" w:ascii="宋体" w:hAnsi="宋体" w:eastAsia="宋体"/>
          <w:b w:val="0"/>
          <w:bCs w:val="0"/>
          <w:sz w:val="24"/>
          <w:szCs w:val="24"/>
        </w:rPr>
      </w:pPr>
      <w:r>
        <w:rPr>
          <w:rFonts w:hint="eastAsia" w:ascii="宋体" w:hAnsi="宋体" w:eastAsia="宋体"/>
          <w:b w:val="0"/>
          <w:bCs w:val="0"/>
          <w:sz w:val="24"/>
          <w:szCs w:val="24"/>
        </w:rPr>
        <w:t>技术指标要求</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0" w:beforeAutospacing="1" w:after="0" w:afterAutospacing="1" w:line="360" w:lineRule="auto"/>
        <w:ind w:left="425" w:leftChars="0" w:hanging="425" w:firstLine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试剂空白吸光度应≤0.400</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0" w:beforeAutospacing="1" w:after="0" w:afterAutospacing="1" w:line="360" w:lineRule="auto"/>
        <w:ind w:left="425" w:leftChars="0" w:hanging="425" w:firstLine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分析灵敏度：当样本的浓度为 0.90mmol/L时，试剂吸光度变化(ΔA)应≥0.05</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0" w:beforeAutospacing="1" w:after="0" w:afterAutospacing="1" w:line="360" w:lineRule="auto"/>
        <w:ind w:left="425" w:leftChars="0" w:hanging="425" w:firstLine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准确度：相对偏差应≤10%</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0" w:beforeAutospacing="1" w:after="0" w:afterAutospacing="1" w:line="360" w:lineRule="auto"/>
        <w:ind w:left="425" w:leftChars="0" w:hanging="425" w:firstLine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精密度：批内CV应≤5%；批间相对极差应≤10%</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0" w:beforeAutospacing="1" w:after="0" w:afterAutospacing="1" w:line="360" w:lineRule="auto"/>
        <w:ind w:left="425" w:leftChars="0" w:hanging="425" w:firstLine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线性范围：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1" w:after="0" w:afterAutospacing="1" w:line="360" w:lineRule="auto"/>
        <w:ind w:left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相关系数：在[0.15，3.00]mmol/L 线性范围内，相关系数r应≥0.990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1" w:after="0" w:afterAutospacing="1" w:line="360" w:lineRule="auto"/>
        <w:ind w:left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线性偏差：在[0.15，0.80)mmol/L区间内，线性绝对偏差应≤0.08mmol/L； 在[0.80， 3.00]mmol/L 区间内，线性相对偏差应≤10%</w:t>
      </w:r>
    </w:p>
    <w:p>
      <w:pPr>
        <w:keepNext w:val="0"/>
        <w:keepLines w:val="0"/>
        <w:widowControl/>
        <w:numPr>
          <w:ilvl w:val="0"/>
          <w:numId w:val="10"/>
        </w:numPr>
        <w:suppressLineNumbers w:val="0"/>
        <w:spacing w:before="0" w:beforeAutospacing="1" w:after="0" w:afterAutospacing="1" w:line="360" w:lineRule="auto"/>
        <w:ind w:left="425" w:leftChars="0" w:hanging="425" w:firstLineChars="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校准品准确度：相对偏差应≤10%</w:t>
      </w:r>
    </w:p>
    <w:p>
      <w:pPr>
        <w:keepNext w:val="0"/>
        <w:keepLines w:val="0"/>
        <w:widowControl/>
        <w:numPr>
          <w:ilvl w:val="0"/>
          <w:numId w:val="10"/>
        </w:numPr>
        <w:suppressLineNumbers w:val="0"/>
        <w:spacing w:before="0" w:beforeAutospacing="1" w:after="0" w:afterAutospacing="1" w:line="360" w:lineRule="auto"/>
        <w:ind w:left="425" w:leftChars="0" w:hanging="425" w:firstLineChars="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校准品均一性：瓶间 CV应≤10%</w:t>
      </w:r>
    </w:p>
    <w:p>
      <w:pPr>
        <w:keepNext w:val="0"/>
        <w:keepLines w:val="0"/>
        <w:widowControl/>
        <w:numPr>
          <w:ilvl w:val="0"/>
          <w:numId w:val="10"/>
        </w:numPr>
        <w:suppressLineNumbers w:val="0"/>
        <w:spacing w:before="0" w:beforeAutospacing="1" w:after="0" w:afterAutospacing="1" w:line="360" w:lineRule="auto"/>
        <w:ind w:left="425" w:leftChars="0" w:hanging="425" w:firstLineChars="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质控品准确度：测定值应在标示值的允许范围内</w:t>
      </w:r>
    </w:p>
    <w:p>
      <w:pPr>
        <w:pStyle w:val="54"/>
        <w:widowControl w:val="0"/>
        <w:numPr>
          <w:ilvl w:val="0"/>
          <w:numId w:val="10"/>
        </w:numPr>
        <w:spacing w:line="360" w:lineRule="auto"/>
        <w:ind w:left="425" w:leftChars="0" w:hanging="425" w:firstLineChars="0"/>
        <w:jc w:val="both"/>
        <w:rPr>
          <w:rFonts w:hint="default" w:ascii="宋体" w:hAnsi="宋体" w:eastAsia="宋体"/>
          <w:b w:val="0"/>
          <w:bCs w:val="0"/>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质控品均一性：瓶内CV应≤10%</w:t>
      </w:r>
    </w:p>
    <w:p>
      <w:pPr>
        <w:pStyle w:val="54"/>
        <w:widowControl w:val="0"/>
        <w:numPr>
          <w:ilvl w:val="0"/>
          <w:numId w:val="0"/>
        </w:numPr>
        <w:spacing w:line="360" w:lineRule="auto"/>
        <w:jc w:val="both"/>
        <w:rPr>
          <w:rFonts w:hint="eastAsia" w:ascii="宋体" w:hAnsi="宋体" w:eastAsia="宋体" w:cs="宋体"/>
          <w:color w:val="000000" w:themeColor="text1"/>
          <w:sz w:val="24"/>
          <w:szCs w:val="24"/>
          <w14:textFill>
            <w14:solidFill>
              <w14:schemeClr w14:val="tx1"/>
            </w14:solidFill>
          </w14:textFill>
        </w:rPr>
      </w:pPr>
    </w:p>
    <w:p>
      <w:pPr>
        <w:pStyle w:val="54"/>
        <w:widowControl w:val="0"/>
        <w:numPr>
          <w:ilvl w:val="0"/>
          <w:numId w:val="0"/>
        </w:numPr>
        <w:spacing w:line="360" w:lineRule="auto"/>
        <w:jc w:val="both"/>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包件五：</w:t>
      </w:r>
    </w:p>
    <w:p>
      <w:pPr>
        <w:pStyle w:val="54"/>
        <w:numPr>
          <w:ilvl w:val="0"/>
          <w:numId w:val="11"/>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Times New Roman"/>
          <w:sz w:val="24"/>
          <w:szCs w:val="24"/>
          <w:lang w:val="en-US" w:eastAsia="zh-CN"/>
        </w:rPr>
        <w:t>项目</w:t>
      </w:r>
      <w:r>
        <w:rPr>
          <w:rFonts w:hint="eastAsia" w:ascii="宋体" w:hAnsi="宋体" w:eastAsia="宋体" w:cs="Times New Roman"/>
          <w:b w:val="0"/>
          <w:bCs w:val="0"/>
          <w:sz w:val="24"/>
          <w:szCs w:val="24"/>
        </w:rPr>
        <w:t>名称：</w:t>
      </w:r>
      <w:r>
        <w:rPr>
          <w:rFonts w:hint="eastAsia" w:ascii="宋体" w:hAnsi="宋体" w:eastAsia="宋体" w:cs="宋体"/>
          <w:kern w:val="0"/>
          <w:sz w:val="24"/>
          <w:szCs w:val="24"/>
          <w:highlight w:val="none"/>
          <w:lang w:val="en-US" w:eastAsia="zh-CN"/>
        </w:rPr>
        <w:t>胱抑素C测定试剂</w:t>
      </w:r>
    </w:p>
    <w:p>
      <w:pPr>
        <w:pStyle w:val="54"/>
        <w:numPr>
          <w:ilvl w:val="0"/>
          <w:numId w:val="11"/>
        </w:numPr>
        <w:spacing w:line="360" w:lineRule="auto"/>
        <w:ind w:left="-420" w:leftChars="0" w:firstLine="420" w:firstLineChars="0"/>
        <w:rPr>
          <w:rFonts w:ascii="宋体" w:hAnsi="宋体" w:eastAsia="宋体"/>
          <w:b w:val="0"/>
          <w:bCs w:val="0"/>
          <w:sz w:val="24"/>
          <w:szCs w:val="24"/>
        </w:rPr>
      </w:pPr>
      <w:r>
        <w:rPr>
          <w:rFonts w:hint="eastAsia" w:ascii="宋体" w:hAnsi="宋体" w:eastAsia="宋体"/>
          <w:b w:val="0"/>
          <w:bCs w:val="0"/>
          <w:sz w:val="24"/>
          <w:szCs w:val="24"/>
        </w:rPr>
        <w:t>交货时间：</w:t>
      </w:r>
      <w:r>
        <w:rPr>
          <w:rFonts w:hint="eastAsia" w:ascii="宋体" w:hAnsi="宋体" w:eastAsia="宋体"/>
          <w:b w:val="0"/>
          <w:bCs w:val="0"/>
          <w:sz w:val="24"/>
          <w:szCs w:val="24"/>
          <w:lang w:val="en-US" w:eastAsia="zh-CN"/>
        </w:rPr>
        <w:t>买方指定时间</w:t>
      </w:r>
    </w:p>
    <w:p>
      <w:pPr>
        <w:pStyle w:val="54"/>
        <w:numPr>
          <w:ilvl w:val="0"/>
          <w:numId w:val="11"/>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宋体"/>
          <w:b w:val="0"/>
          <w:bCs w:val="0"/>
          <w:sz w:val="24"/>
          <w:szCs w:val="24"/>
        </w:rPr>
        <w:t>货到验收</w:t>
      </w:r>
      <w:r>
        <w:rPr>
          <w:rFonts w:hint="eastAsia" w:ascii="宋体" w:hAnsi="宋体" w:eastAsia="宋体" w:cs="宋体"/>
          <w:b w:val="0"/>
          <w:bCs w:val="0"/>
          <w:sz w:val="24"/>
          <w:szCs w:val="24"/>
          <w:lang w:val="en-US" w:eastAsia="zh-CN"/>
        </w:rPr>
        <w:t>并开具合格发票</w:t>
      </w:r>
      <w:r>
        <w:rPr>
          <w:rFonts w:hint="eastAsia" w:ascii="宋体" w:hAnsi="宋体" w:eastAsia="宋体" w:cs="宋体"/>
          <w:b w:val="0"/>
          <w:bCs w:val="0"/>
          <w:sz w:val="24"/>
          <w:szCs w:val="24"/>
        </w:rPr>
        <w:t>后</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个月内买方支付货款的100%</w:t>
      </w:r>
    </w:p>
    <w:p>
      <w:pPr>
        <w:pStyle w:val="54"/>
        <w:numPr>
          <w:ilvl w:val="0"/>
          <w:numId w:val="11"/>
        </w:numPr>
        <w:spacing w:line="360" w:lineRule="auto"/>
        <w:ind w:left="-420" w:leftChars="0" w:firstLine="420" w:firstLineChars="0"/>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交货地点：</w:t>
      </w:r>
      <w:r>
        <w:rPr>
          <w:rFonts w:hint="eastAsia" w:ascii="宋体" w:hAnsi="宋体" w:eastAsia="宋体"/>
          <w:b w:val="0"/>
          <w:bCs w:val="0"/>
          <w:sz w:val="24"/>
          <w:szCs w:val="24"/>
          <w:lang w:val="en-US" w:eastAsia="zh-CN"/>
        </w:rPr>
        <w:t>买方</w:t>
      </w:r>
      <w:r>
        <w:rPr>
          <w:rFonts w:hint="eastAsia" w:ascii="宋体" w:hAnsi="宋体" w:eastAsia="宋体"/>
          <w:b w:val="0"/>
          <w:bCs w:val="0"/>
          <w:sz w:val="24"/>
          <w:szCs w:val="24"/>
          <w:lang w:eastAsia="zh-CN"/>
        </w:rPr>
        <w:t>指定地点</w:t>
      </w:r>
    </w:p>
    <w:p>
      <w:pPr>
        <w:pStyle w:val="54"/>
        <w:widowControl w:val="0"/>
        <w:numPr>
          <w:ilvl w:val="0"/>
          <w:numId w:val="11"/>
        </w:numPr>
        <w:spacing w:line="360" w:lineRule="auto"/>
        <w:ind w:left="-420" w:leftChars="0" w:firstLine="420" w:firstLineChars="0"/>
        <w:jc w:val="both"/>
        <w:rPr>
          <w:rFonts w:hint="eastAsia" w:ascii="宋体" w:hAnsi="宋体" w:eastAsia="宋体"/>
          <w:b w:val="0"/>
          <w:bCs w:val="0"/>
          <w:sz w:val="24"/>
          <w:szCs w:val="24"/>
        </w:rPr>
      </w:pPr>
      <w:r>
        <w:rPr>
          <w:rFonts w:hint="eastAsia" w:ascii="宋体" w:hAnsi="宋体" w:eastAsia="宋体"/>
          <w:b w:val="0"/>
          <w:bCs w:val="0"/>
          <w:sz w:val="24"/>
          <w:szCs w:val="24"/>
        </w:rPr>
        <w:t>技术指标要求</w:t>
      </w:r>
    </w:p>
    <w:p>
      <w:pPr>
        <w:numPr>
          <w:ilvl w:val="0"/>
          <w:numId w:val="12"/>
        </w:numPr>
        <w:spacing w:line="360" w:lineRule="auto"/>
        <w:ind w:left="425" w:leftChars="0" w:hanging="425" w:firstLineChars="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★用途：用于体外定量测定人血清中胱抑素的含量，是反应肾小球的过滤效率的重要标志物</w:t>
      </w:r>
    </w:p>
    <w:p>
      <w:pPr>
        <w:numPr>
          <w:ilvl w:val="0"/>
          <w:numId w:val="12"/>
        </w:numPr>
        <w:spacing w:line="360" w:lineRule="auto"/>
        <w:ind w:left="425" w:leftChars="0" w:hanging="425" w:firstLineChars="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★样本类型：血清标本</w:t>
      </w:r>
    </w:p>
    <w:p>
      <w:pPr>
        <w:numPr>
          <w:ilvl w:val="0"/>
          <w:numId w:val="12"/>
        </w:numPr>
        <w:spacing w:line="360" w:lineRule="auto"/>
        <w:ind w:left="425" w:leftChars="0" w:hanging="425" w:firstLineChars="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适用机型：全自动生化分析仪</w:t>
      </w:r>
    </w:p>
    <w:p>
      <w:pPr>
        <w:numPr>
          <w:ilvl w:val="0"/>
          <w:numId w:val="12"/>
        </w:numPr>
        <w:spacing w:line="360" w:lineRule="auto"/>
        <w:ind w:left="425" w:leftChars="0" w:hanging="425" w:firstLineChars="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检测时间：≤15 min</w:t>
      </w:r>
    </w:p>
    <w:p>
      <w:pPr>
        <w:numPr>
          <w:ilvl w:val="0"/>
          <w:numId w:val="12"/>
        </w:numPr>
        <w:spacing w:line="360" w:lineRule="auto"/>
        <w:ind w:left="425" w:leftChars="0" w:hanging="425" w:firstLineChars="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线性范围：0.4-7.5 mg/L</w:t>
      </w:r>
    </w:p>
    <w:p>
      <w:pPr>
        <w:numPr>
          <w:ilvl w:val="0"/>
          <w:numId w:val="12"/>
        </w:numPr>
        <w:spacing w:line="360" w:lineRule="auto"/>
        <w:ind w:left="425" w:leftChars="0" w:hanging="425" w:firstLineChars="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准确度：≤15 %（提供相关证明文件）</w:t>
      </w:r>
    </w:p>
    <w:p>
      <w:pPr>
        <w:numPr>
          <w:ilvl w:val="0"/>
          <w:numId w:val="12"/>
        </w:numPr>
        <w:spacing w:line="360" w:lineRule="auto"/>
        <w:ind w:left="425" w:leftChars="0" w:hanging="425" w:firstLineChars="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重复性：CV≤5 %（提供相关证明文件）</w:t>
      </w:r>
    </w:p>
    <w:p>
      <w:pPr>
        <w:numPr>
          <w:ilvl w:val="0"/>
          <w:numId w:val="12"/>
        </w:numPr>
        <w:spacing w:line="360" w:lineRule="auto"/>
        <w:ind w:left="425" w:leftChars="0" w:hanging="425" w:firstLineChars="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批间差：CV≤10 %（提供相关证明文件）</w:t>
      </w:r>
    </w:p>
    <w:p>
      <w:pPr>
        <w:numPr>
          <w:ilvl w:val="0"/>
          <w:numId w:val="12"/>
        </w:numPr>
        <w:spacing w:line="360" w:lineRule="auto"/>
        <w:ind w:left="425" w:leftChars="0" w:hanging="425" w:firstLineChars="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储存条件及有效期：2℃-8℃开盖保存，可以稳定 60 天；质控品2℃~8℃密闭保存，效期为 12个月，开瓶后 2℃~8℃保存 28 天；</w:t>
      </w:r>
    </w:p>
    <w:p>
      <w:pPr>
        <w:numPr>
          <w:ilvl w:val="0"/>
          <w:numId w:val="12"/>
        </w:numPr>
        <w:spacing w:line="360" w:lineRule="auto"/>
        <w:ind w:left="425" w:leftChars="0" w:hanging="425" w:firstLineChars="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★试剂具有食品药品监督管理局批准的备案证或注册证；</w:t>
      </w:r>
    </w:p>
    <w:p>
      <w:pPr>
        <w:numPr>
          <w:ilvl w:val="0"/>
          <w:numId w:val="12"/>
        </w:numPr>
        <w:spacing w:line="360" w:lineRule="auto"/>
        <w:ind w:left="425" w:leftChars="0" w:hanging="425" w:firstLineChars="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运输条件：2℃-8℃运输，试剂盒运输过程中提供温度监控记录</w:t>
      </w:r>
    </w:p>
    <w:p>
      <w:pPr>
        <w:pStyle w:val="54"/>
        <w:widowControl w:val="0"/>
        <w:numPr>
          <w:ilvl w:val="0"/>
          <w:numId w:val="12"/>
        </w:numPr>
        <w:spacing w:line="360" w:lineRule="auto"/>
        <w:ind w:left="425" w:leftChars="0" w:hanging="425" w:firstLineChars="0"/>
        <w:jc w:val="both"/>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试剂质保期：试剂有效期≥6个月</w:t>
      </w:r>
    </w:p>
    <w:p>
      <w:pPr>
        <w:pStyle w:val="54"/>
        <w:widowControl w:val="0"/>
        <w:numPr>
          <w:ilvl w:val="0"/>
          <w:numId w:val="0"/>
        </w:numPr>
        <w:spacing w:line="360" w:lineRule="auto"/>
        <w:jc w:val="both"/>
        <w:rPr>
          <w:rFonts w:hint="eastAsia" w:ascii="宋体" w:hAnsi="宋体" w:eastAsia="宋体" w:cs="宋体"/>
          <w:color w:val="000000" w:themeColor="text1"/>
          <w:sz w:val="24"/>
          <w14:textFill>
            <w14:solidFill>
              <w14:schemeClr w14:val="tx1"/>
            </w14:solidFill>
          </w14:textFill>
        </w:rPr>
      </w:pPr>
    </w:p>
    <w:p>
      <w:pPr>
        <w:pStyle w:val="54"/>
        <w:widowControl w:val="0"/>
        <w:numPr>
          <w:ilvl w:val="0"/>
          <w:numId w:val="0"/>
        </w:numPr>
        <w:spacing w:line="360" w:lineRule="auto"/>
        <w:jc w:val="both"/>
        <w:rPr>
          <w:rFonts w:hint="eastAsia" w:ascii="宋体" w:hAnsi="宋体" w:eastAsia="宋体" w:cs="宋体"/>
          <w:color w:val="000000" w:themeColor="text1"/>
          <w:sz w:val="24"/>
          <w14:textFill>
            <w14:solidFill>
              <w14:schemeClr w14:val="tx1"/>
            </w14:solidFill>
          </w14:textFill>
        </w:rPr>
      </w:pPr>
    </w:p>
    <w:p>
      <w:pPr>
        <w:pStyle w:val="54"/>
        <w:widowControl w:val="0"/>
        <w:numPr>
          <w:ilvl w:val="0"/>
          <w:numId w:val="0"/>
        </w:numPr>
        <w:spacing w:line="360" w:lineRule="auto"/>
        <w:jc w:val="both"/>
        <w:rPr>
          <w:rFonts w:hint="eastAsia" w:ascii="宋体" w:hAnsi="宋体" w:eastAsia="宋体" w:cs="宋体"/>
          <w:color w:val="000000" w:themeColor="text1"/>
          <w:sz w:val="24"/>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包件六：</w:t>
      </w:r>
    </w:p>
    <w:p>
      <w:pPr>
        <w:pStyle w:val="54"/>
        <w:numPr>
          <w:ilvl w:val="0"/>
          <w:numId w:val="13"/>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Times New Roman"/>
          <w:sz w:val="24"/>
          <w:szCs w:val="24"/>
          <w:lang w:val="en-US" w:eastAsia="zh-CN"/>
        </w:rPr>
        <w:t>项目</w:t>
      </w:r>
      <w:r>
        <w:rPr>
          <w:rFonts w:hint="eastAsia" w:ascii="宋体" w:hAnsi="宋体" w:eastAsia="宋体" w:cs="Times New Roman"/>
          <w:b w:val="0"/>
          <w:bCs w:val="0"/>
          <w:sz w:val="24"/>
          <w:szCs w:val="24"/>
        </w:rPr>
        <w:t>名称：</w:t>
      </w:r>
      <w:r>
        <w:rPr>
          <w:rFonts w:hint="eastAsia" w:ascii="宋体" w:hAnsi="宋体" w:eastAsia="宋体" w:cs="宋体"/>
          <w:kern w:val="0"/>
          <w:sz w:val="24"/>
          <w:szCs w:val="24"/>
          <w:highlight w:val="none"/>
          <w:lang w:val="en-US" w:eastAsia="zh-CN"/>
        </w:rPr>
        <w:t>同型半胱氨酸测定试剂盒</w:t>
      </w:r>
    </w:p>
    <w:p>
      <w:pPr>
        <w:pStyle w:val="54"/>
        <w:numPr>
          <w:ilvl w:val="0"/>
          <w:numId w:val="13"/>
        </w:numPr>
        <w:spacing w:line="360" w:lineRule="auto"/>
        <w:ind w:left="-420" w:leftChars="0" w:firstLine="420" w:firstLineChars="0"/>
        <w:rPr>
          <w:rFonts w:ascii="宋体" w:hAnsi="宋体" w:eastAsia="宋体"/>
          <w:b w:val="0"/>
          <w:bCs w:val="0"/>
          <w:sz w:val="24"/>
          <w:szCs w:val="24"/>
        </w:rPr>
      </w:pPr>
      <w:r>
        <w:rPr>
          <w:rFonts w:hint="eastAsia" w:ascii="宋体" w:hAnsi="宋体" w:eastAsia="宋体"/>
          <w:b w:val="0"/>
          <w:bCs w:val="0"/>
          <w:sz w:val="24"/>
          <w:szCs w:val="24"/>
        </w:rPr>
        <w:t>交货时间：</w:t>
      </w:r>
      <w:r>
        <w:rPr>
          <w:rFonts w:hint="eastAsia" w:ascii="宋体" w:hAnsi="宋体" w:eastAsia="宋体"/>
          <w:b w:val="0"/>
          <w:bCs w:val="0"/>
          <w:sz w:val="24"/>
          <w:szCs w:val="24"/>
          <w:lang w:val="en-US" w:eastAsia="zh-CN"/>
        </w:rPr>
        <w:t>买方指定时间</w:t>
      </w:r>
    </w:p>
    <w:p>
      <w:pPr>
        <w:pStyle w:val="54"/>
        <w:numPr>
          <w:ilvl w:val="0"/>
          <w:numId w:val="13"/>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宋体"/>
          <w:b w:val="0"/>
          <w:bCs w:val="0"/>
          <w:sz w:val="24"/>
          <w:szCs w:val="24"/>
        </w:rPr>
        <w:t>货到验收</w:t>
      </w:r>
      <w:r>
        <w:rPr>
          <w:rFonts w:hint="eastAsia" w:ascii="宋体" w:hAnsi="宋体" w:eastAsia="宋体" w:cs="宋体"/>
          <w:b w:val="0"/>
          <w:bCs w:val="0"/>
          <w:sz w:val="24"/>
          <w:szCs w:val="24"/>
          <w:lang w:val="en-US" w:eastAsia="zh-CN"/>
        </w:rPr>
        <w:t>并开具合格发票</w:t>
      </w:r>
      <w:r>
        <w:rPr>
          <w:rFonts w:hint="eastAsia" w:ascii="宋体" w:hAnsi="宋体" w:eastAsia="宋体" w:cs="宋体"/>
          <w:b w:val="0"/>
          <w:bCs w:val="0"/>
          <w:sz w:val="24"/>
          <w:szCs w:val="24"/>
        </w:rPr>
        <w:t>后</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个月内买方支付货款的100%</w:t>
      </w:r>
    </w:p>
    <w:p>
      <w:pPr>
        <w:pStyle w:val="54"/>
        <w:numPr>
          <w:ilvl w:val="0"/>
          <w:numId w:val="13"/>
        </w:numPr>
        <w:spacing w:line="360" w:lineRule="auto"/>
        <w:ind w:left="-420" w:leftChars="0" w:firstLine="420" w:firstLineChars="0"/>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交货地点：</w:t>
      </w:r>
      <w:r>
        <w:rPr>
          <w:rFonts w:hint="eastAsia" w:ascii="宋体" w:hAnsi="宋体" w:eastAsia="宋体"/>
          <w:b w:val="0"/>
          <w:bCs w:val="0"/>
          <w:sz w:val="24"/>
          <w:szCs w:val="24"/>
          <w:lang w:val="en-US" w:eastAsia="zh-CN"/>
        </w:rPr>
        <w:t>买方</w:t>
      </w:r>
      <w:r>
        <w:rPr>
          <w:rFonts w:hint="eastAsia" w:ascii="宋体" w:hAnsi="宋体" w:eastAsia="宋体"/>
          <w:b w:val="0"/>
          <w:bCs w:val="0"/>
          <w:sz w:val="24"/>
          <w:szCs w:val="24"/>
          <w:lang w:eastAsia="zh-CN"/>
        </w:rPr>
        <w:t>指定地点</w:t>
      </w:r>
    </w:p>
    <w:p>
      <w:pPr>
        <w:pStyle w:val="54"/>
        <w:widowControl w:val="0"/>
        <w:numPr>
          <w:ilvl w:val="0"/>
          <w:numId w:val="13"/>
        </w:numPr>
        <w:spacing w:line="360" w:lineRule="auto"/>
        <w:ind w:left="-420" w:leftChars="0" w:firstLine="420" w:firstLineChars="0"/>
        <w:jc w:val="both"/>
        <w:rPr>
          <w:rFonts w:hint="eastAsia" w:ascii="宋体" w:hAnsi="宋体" w:eastAsia="宋体"/>
          <w:b w:val="0"/>
          <w:bCs w:val="0"/>
          <w:sz w:val="24"/>
          <w:szCs w:val="24"/>
        </w:rPr>
      </w:pPr>
      <w:r>
        <w:rPr>
          <w:rFonts w:hint="eastAsia" w:ascii="宋体" w:hAnsi="宋体" w:eastAsia="宋体"/>
          <w:b w:val="0"/>
          <w:bCs w:val="0"/>
          <w:sz w:val="24"/>
          <w:szCs w:val="24"/>
        </w:rPr>
        <w:t>技术指标要求</w:t>
      </w:r>
    </w:p>
    <w:p>
      <w:pPr>
        <w:numPr>
          <w:ilvl w:val="0"/>
          <w:numId w:val="14"/>
        </w:numPr>
        <w:spacing w:line="360" w:lineRule="auto"/>
        <w:ind w:left="425" w:leftChars="0" w:hanging="425" w:firstLineChars="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★用途：用于体外定量检测人血清中同型半胱氨酸的含量，同型半胱氨酸血症是冠心病的一个独立重要的危险因素</w:t>
      </w:r>
      <w:r>
        <w:rPr>
          <w:rFonts w:ascii="宋体" w:hAnsi="宋体" w:eastAsia="宋体" w:cs="宋体"/>
          <w:color w:val="000000" w:themeColor="text1"/>
          <w:sz w:val="24"/>
          <w14:textFill>
            <w14:solidFill>
              <w14:schemeClr w14:val="tx1"/>
            </w14:solidFill>
          </w14:textFill>
        </w:rPr>
        <w:t>，其检测可用于冠心病的早期诊断及治疗</w:t>
      </w:r>
    </w:p>
    <w:p>
      <w:pPr>
        <w:numPr>
          <w:ilvl w:val="0"/>
          <w:numId w:val="14"/>
        </w:numPr>
        <w:spacing w:line="360" w:lineRule="auto"/>
        <w:ind w:left="425" w:leftChars="0" w:hanging="425" w:firstLineChars="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★样本类型：血清标本</w:t>
      </w:r>
    </w:p>
    <w:p>
      <w:pPr>
        <w:numPr>
          <w:ilvl w:val="0"/>
          <w:numId w:val="14"/>
        </w:numPr>
        <w:spacing w:line="360" w:lineRule="auto"/>
        <w:ind w:left="425" w:leftChars="0" w:hanging="425" w:firstLineChars="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适用机型：</w:t>
      </w:r>
      <w:r>
        <w:rPr>
          <w:rFonts w:hint="eastAsia" w:ascii="宋体" w:hAnsi="宋体" w:eastAsia="宋体" w:cs="宋体"/>
          <w:color w:val="000000" w:themeColor="text1"/>
          <w:sz w:val="24"/>
          <w14:textFill>
            <w14:solidFill>
              <w14:schemeClr w14:val="tx1"/>
            </w14:solidFill>
          </w14:textFill>
        </w:rPr>
        <w:t>全自动生化分析仪</w:t>
      </w:r>
    </w:p>
    <w:p>
      <w:pPr>
        <w:numPr>
          <w:ilvl w:val="0"/>
          <w:numId w:val="14"/>
        </w:numPr>
        <w:spacing w:line="360" w:lineRule="auto"/>
        <w:ind w:left="425" w:leftChars="0" w:hanging="425" w:firstLineChars="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检测时间：</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15 min</w:t>
      </w:r>
    </w:p>
    <w:p>
      <w:pPr>
        <w:numPr>
          <w:ilvl w:val="0"/>
          <w:numId w:val="14"/>
        </w:numPr>
        <w:spacing w:line="360" w:lineRule="auto"/>
        <w:ind w:left="425" w:leftChars="0" w:hanging="425" w:firstLineChars="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线性范围：1-</w:t>
      </w:r>
      <w:r>
        <w:rPr>
          <w:rFonts w:hint="eastAsia" w:ascii="宋体" w:hAnsi="宋体" w:eastAsia="宋体" w:cs="宋体"/>
          <w:color w:val="000000" w:themeColor="text1"/>
          <w:sz w:val="24"/>
          <w14:textFill>
            <w14:solidFill>
              <w14:schemeClr w14:val="tx1"/>
            </w14:solidFill>
          </w14:textFill>
        </w:rPr>
        <w:t>50</w:t>
      </w:r>
      <w:r>
        <w:rPr>
          <w:rFonts w:ascii="宋体" w:hAnsi="宋体" w:eastAsia="宋体" w:cs="宋体"/>
          <w:color w:val="000000" w:themeColor="text1"/>
          <w:sz w:val="24"/>
          <w14:textFill>
            <w14:solidFill>
              <w14:schemeClr w14:val="tx1"/>
            </w14:solidFill>
          </w14:textFill>
        </w:rPr>
        <w:t xml:space="preserve"> umol/L</w:t>
      </w:r>
    </w:p>
    <w:p>
      <w:pPr>
        <w:numPr>
          <w:ilvl w:val="0"/>
          <w:numId w:val="14"/>
        </w:numPr>
        <w:spacing w:line="360" w:lineRule="auto"/>
        <w:ind w:left="425" w:leftChars="0" w:hanging="425" w:firstLineChars="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准确度：</w:t>
      </w:r>
      <w:r>
        <w:rPr>
          <w:rFonts w:hint="eastAsia" w:ascii="宋体" w:hAnsi="宋体" w:eastAsia="宋体" w:cs="宋体"/>
          <w:color w:val="000000" w:themeColor="text1"/>
          <w:sz w:val="24"/>
          <w14:textFill>
            <w14:solidFill>
              <w14:schemeClr w14:val="tx1"/>
            </w14:solidFill>
          </w14:textFill>
        </w:rPr>
        <w:t>≤1</w:t>
      </w:r>
      <w:r>
        <w:rPr>
          <w:rFonts w:ascii="宋体" w:hAnsi="宋体" w:eastAsia="宋体" w:cs="宋体"/>
          <w:color w:val="000000" w:themeColor="text1"/>
          <w:sz w:val="24"/>
          <w14:textFill>
            <w14:solidFill>
              <w14:schemeClr w14:val="tx1"/>
            </w14:solidFill>
          </w14:textFill>
        </w:rPr>
        <w:t xml:space="preserve">5 </w:t>
      </w:r>
      <w:r>
        <w:rPr>
          <w:rFonts w:hint="eastAsia" w:ascii="宋体" w:hAnsi="宋体" w:eastAsia="宋体" w:cs="宋体"/>
          <w:color w:val="000000" w:themeColor="text1"/>
          <w:sz w:val="24"/>
          <w14:textFill>
            <w14:solidFill>
              <w14:schemeClr w14:val="tx1"/>
            </w14:solidFill>
          </w14:textFill>
        </w:rPr>
        <w:t>%（提供相关证明文件）</w:t>
      </w:r>
    </w:p>
    <w:p>
      <w:pPr>
        <w:numPr>
          <w:ilvl w:val="0"/>
          <w:numId w:val="14"/>
        </w:numPr>
        <w:spacing w:line="360" w:lineRule="auto"/>
        <w:ind w:left="425" w:leftChars="0" w:hanging="425" w:firstLineChars="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重复性：CV≤10</w:t>
      </w:r>
      <w:r>
        <w:rPr>
          <w:rFonts w:ascii="宋体" w:hAnsi="宋体" w:eastAsia="宋体" w:cs="宋体"/>
          <w:color w:val="000000" w:themeColor="text1"/>
          <w:sz w:val="24"/>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%（提供相关证明文件）</w:t>
      </w:r>
    </w:p>
    <w:p>
      <w:pPr>
        <w:numPr>
          <w:ilvl w:val="0"/>
          <w:numId w:val="14"/>
        </w:numPr>
        <w:spacing w:line="360" w:lineRule="auto"/>
        <w:ind w:left="425" w:leftChars="0" w:hanging="425" w:firstLineChars="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批间差：CV≤1</w:t>
      </w:r>
      <w:r>
        <w:rPr>
          <w:rFonts w:ascii="宋体" w:hAnsi="宋体" w:eastAsia="宋体" w:cs="宋体"/>
          <w:color w:val="000000" w:themeColor="text1"/>
          <w:sz w:val="24"/>
          <w14:textFill>
            <w14:solidFill>
              <w14:schemeClr w14:val="tx1"/>
            </w14:solidFill>
          </w14:textFill>
        </w:rPr>
        <w:t xml:space="preserve">0 </w:t>
      </w:r>
      <w:r>
        <w:rPr>
          <w:rFonts w:hint="eastAsia" w:ascii="宋体" w:hAnsi="宋体" w:eastAsia="宋体" w:cs="宋体"/>
          <w:color w:val="000000" w:themeColor="text1"/>
          <w:sz w:val="24"/>
          <w14:textFill>
            <w14:solidFill>
              <w14:schemeClr w14:val="tx1"/>
            </w14:solidFill>
          </w14:textFill>
        </w:rPr>
        <w:t>%（提供相关证明文件）</w:t>
      </w:r>
    </w:p>
    <w:p>
      <w:pPr>
        <w:numPr>
          <w:ilvl w:val="0"/>
          <w:numId w:val="14"/>
        </w:numPr>
        <w:spacing w:line="360" w:lineRule="auto"/>
        <w:ind w:left="425" w:leftChars="0" w:hanging="425" w:firstLineChars="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储存条件及有效期：开盖 2℃～8℃保持，可稳定 28 天；</w:t>
      </w:r>
      <w:r>
        <w:rPr>
          <w:rFonts w:hint="eastAsia" w:ascii="宋体" w:hAnsi="宋体" w:eastAsia="宋体" w:cs="宋体"/>
          <w:color w:val="000000" w:themeColor="text1"/>
          <w:sz w:val="24"/>
          <w14:textFill>
            <w14:solidFill>
              <w14:schemeClr w14:val="tx1"/>
            </w14:solidFill>
          </w14:textFill>
        </w:rPr>
        <w:t>质控品：2℃～8℃密闭保存，效期为 12 个月；开瓶后 2℃～8℃保存 14 天</w:t>
      </w:r>
    </w:p>
    <w:p>
      <w:pPr>
        <w:numPr>
          <w:ilvl w:val="0"/>
          <w:numId w:val="14"/>
        </w:numPr>
        <w:spacing w:line="360" w:lineRule="auto"/>
        <w:ind w:left="425" w:leftChars="0" w:hanging="425" w:firstLineChars="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运输条件：</w:t>
      </w:r>
      <w:r>
        <w:rPr>
          <w:rFonts w:hint="eastAsia" w:ascii="宋体" w:hAnsi="宋体" w:eastAsia="宋体" w:cs="宋体"/>
          <w:color w:val="000000" w:themeColor="text1"/>
          <w:sz w:val="24"/>
          <w14:textFill>
            <w14:solidFill>
              <w14:schemeClr w14:val="tx1"/>
            </w14:solidFill>
          </w14:textFill>
        </w:rPr>
        <w:t>2℃-8℃运输，试剂盒运输过程中提供温度监控记录</w:t>
      </w:r>
    </w:p>
    <w:p>
      <w:pPr>
        <w:numPr>
          <w:ilvl w:val="0"/>
          <w:numId w:val="14"/>
        </w:numPr>
        <w:spacing w:line="360" w:lineRule="auto"/>
        <w:ind w:left="425" w:leftChars="0" w:hanging="425" w:firstLineChars="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试剂质保期：有效期</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6个月</w:t>
      </w:r>
    </w:p>
    <w:p>
      <w:pPr>
        <w:pStyle w:val="54"/>
        <w:widowControl w:val="0"/>
        <w:numPr>
          <w:ilvl w:val="0"/>
          <w:numId w:val="0"/>
        </w:numPr>
        <w:spacing w:line="360" w:lineRule="auto"/>
        <w:jc w:val="both"/>
        <w:rPr>
          <w:rFonts w:hint="eastAsia" w:ascii="宋体" w:hAnsi="宋体" w:eastAsia="宋体" w:cs="宋体"/>
          <w:color w:val="000000" w:themeColor="text1"/>
          <w:sz w:val="24"/>
          <w14:textFill>
            <w14:solidFill>
              <w14:schemeClr w14:val="tx1"/>
            </w14:solidFill>
          </w14:textFill>
        </w:rPr>
      </w:pPr>
    </w:p>
    <w:p>
      <w:pPr>
        <w:pStyle w:val="54"/>
        <w:widowControl w:val="0"/>
        <w:numPr>
          <w:ilvl w:val="0"/>
          <w:numId w:val="0"/>
        </w:numPr>
        <w:spacing w:line="360" w:lineRule="auto"/>
        <w:jc w:val="both"/>
        <w:rPr>
          <w:rFonts w:hint="default"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Times New Roman"/>
          <w:b/>
          <w:sz w:val="28"/>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Times New Roman"/>
          <w:b/>
          <w:sz w:val="28"/>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Times New Roman"/>
          <w:b/>
          <w:sz w:val="28"/>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Times New Roman"/>
          <w:b/>
          <w:sz w:val="28"/>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ascii="宋体" w:hAnsi="宋体" w:eastAsia="宋体" w:cs="黑体"/>
          <w:spacing w:val="8"/>
          <w:kern w:val="0"/>
          <w:sz w:val="22"/>
          <w:szCs w:val="28"/>
        </w:rPr>
      </w:pPr>
      <w:r>
        <w:rPr>
          <w:rFonts w:hint="eastAsia" w:ascii="宋体" w:hAnsi="宋体" w:eastAsia="宋体" w:cs="Times New Roman"/>
          <w:b/>
          <w:sz w:val="28"/>
          <w:szCs w:val="20"/>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7" w:name="_Hlk72236197"/>
      <w:r>
        <w:rPr>
          <w:rFonts w:hint="eastAsia" w:ascii="宋体" w:hAnsi="宋体" w:eastAsia="宋体" w:cs="Times New Roman"/>
          <w:sz w:val="24"/>
          <w:szCs w:val="20"/>
        </w:rPr>
        <w:t>上海市中医医院</w:t>
      </w:r>
      <w:bookmarkEnd w:id="17"/>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Lines="5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8" w:name="_Toc11326097"/>
      <w:r>
        <w:rPr>
          <w:rFonts w:hint="eastAsia" w:ascii="宋体" w:hAnsi="宋体" w:eastAsia="宋体" w:cs="Times New Roman"/>
          <w:b/>
          <w:sz w:val="28"/>
          <w:szCs w:val="20"/>
        </w:rPr>
        <w:t>附件2：无行贿犯罪记录声明函（格式）</w:t>
      </w:r>
      <w:bookmarkEnd w:id="18"/>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Lines="50" w:afterLines="50" w:line="360" w:lineRule="auto"/>
        <w:jc w:val="left"/>
        <w:rPr>
          <w:rFonts w:ascii="宋体" w:hAnsi="宋体" w:eastAsia="宋体" w:cs="Times New Roman"/>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Lines="50"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Lines="50"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Adobe 黑体 Std R">
    <w:altName w:val="黑体"/>
    <w:panose1 w:val="00000000000000000000"/>
    <w:charset w:val="86"/>
    <w:family w:val="swiss"/>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5</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2F5918"/>
    <w:multiLevelType w:val="singleLevel"/>
    <w:tmpl w:val="8D2F5918"/>
    <w:lvl w:ilvl="0" w:tentative="0">
      <w:start w:val="1"/>
      <w:numFmt w:val="chineseCounting"/>
      <w:suff w:val="nothing"/>
      <w:lvlText w:val="%1、"/>
      <w:lvlJc w:val="left"/>
      <w:pPr>
        <w:ind w:left="0" w:firstLine="420"/>
      </w:pPr>
      <w:rPr>
        <w:rFonts w:hint="eastAsia"/>
      </w:rPr>
    </w:lvl>
  </w:abstractNum>
  <w:abstractNum w:abstractNumId="1">
    <w:nsid w:val="A20E91A2"/>
    <w:multiLevelType w:val="singleLevel"/>
    <w:tmpl w:val="A20E91A2"/>
    <w:lvl w:ilvl="0" w:tentative="0">
      <w:start w:val="4"/>
      <w:numFmt w:val="chineseCounting"/>
      <w:suff w:val="space"/>
      <w:lvlText w:val="第%1章"/>
      <w:lvlJc w:val="left"/>
      <w:rPr>
        <w:rFonts w:hint="eastAsia"/>
        <w:lang w:val="en-US"/>
      </w:rPr>
    </w:lvl>
  </w:abstractNum>
  <w:abstractNum w:abstractNumId="2">
    <w:nsid w:val="ABD955DF"/>
    <w:multiLevelType w:val="singleLevel"/>
    <w:tmpl w:val="ABD955DF"/>
    <w:lvl w:ilvl="0" w:tentative="0">
      <w:start w:val="1"/>
      <w:numFmt w:val="decimal"/>
      <w:lvlText w:val="%1."/>
      <w:lvlJc w:val="left"/>
      <w:pPr>
        <w:ind w:left="425" w:hanging="425"/>
      </w:pPr>
      <w:rPr>
        <w:rFonts w:hint="default"/>
      </w:rPr>
    </w:lvl>
  </w:abstractNum>
  <w:abstractNum w:abstractNumId="3">
    <w:nsid w:val="B4BEB4AB"/>
    <w:multiLevelType w:val="singleLevel"/>
    <w:tmpl w:val="B4BEB4AB"/>
    <w:lvl w:ilvl="0" w:tentative="0">
      <w:start w:val="1"/>
      <w:numFmt w:val="chineseCounting"/>
      <w:suff w:val="nothing"/>
      <w:lvlText w:val="%1、"/>
      <w:lvlJc w:val="left"/>
      <w:pPr>
        <w:ind w:left="-420" w:firstLine="420"/>
      </w:pPr>
      <w:rPr>
        <w:rFonts w:hint="eastAsia"/>
        <w:b w:val="0"/>
        <w:bCs w:val="0"/>
      </w:rPr>
    </w:lvl>
  </w:abstractNum>
  <w:abstractNum w:abstractNumId="4">
    <w:nsid w:val="CD1FD12B"/>
    <w:multiLevelType w:val="singleLevel"/>
    <w:tmpl w:val="CD1FD12B"/>
    <w:lvl w:ilvl="0" w:tentative="0">
      <w:start w:val="1"/>
      <w:numFmt w:val="chineseCounting"/>
      <w:suff w:val="nothing"/>
      <w:lvlText w:val="%1、"/>
      <w:lvlJc w:val="left"/>
      <w:pPr>
        <w:ind w:left="0" w:firstLine="420"/>
      </w:pPr>
      <w:rPr>
        <w:rFonts w:hint="eastAsia"/>
      </w:rPr>
    </w:lvl>
  </w:abstractNum>
  <w:abstractNum w:abstractNumId="5">
    <w:nsid w:val="D5CE0537"/>
    <w:multiLevelType w:val="singleLevel"/>
    <w:tmpl w:val="D5CE0537"/>
    <w:lvl w:ilvl="0" w:tentative="0">
      <w:start w:val="1"/>
      <w:numFmt w:val="chineseCounting"/>
      <w:suff w:val="nothing"/>
      <w:lvlText w:val="%1、"/>
      <w:lvlJc w:val="left"/>
      <w:pPr>
        <w:ind w:left="0" w:firstLine="420"/>
      </w:pPr>
      <w:rPr>
        <w:rFonts w:hint="eastAsia"/>
      </w:rPr>
    </w:lvl>
  </w:abstractNum>
  <w:abstractNum w:abstractNumId="6">
    <w:nsid w:val="D606F7F2"/>
    <w:multiLevelType w:val="singleLevel"/>
    <w:tmpl w:val="D606F7F2"/>
    <w:lvl w:ilvl="0" w:tentative="0">
      <w:start w:val="1"/>
      <w:numFmt w:val="decimal"/>
      <w:lvlText w:val="%1."/>
      <w:lvlJc w:val="left"/>
      <w:pPr>
        <w:ind w:left="425" w:hanging="425"/>
      </w:pPr>
      <w:rPr>
        <w:rFonts w:hint="default"/>
      </w:rPr>
    </w:lvl>
  </w:abstractNum>
  <w:abstractNum w:abstractNumId="7">
    <w:nsid w:val="F7599E3E"/>
    <w:multiLevelType w:val="singleLevel"/>
    <w:tmpl w:val="F7599E3E"/>
    <w:lvl w:ilvl="0" w:tentative="0">
      <w:start w:val="1"/>
      <w:numFmt w:val="chineseCounting"/>
      <w:suff w:val="nothing"/>
      <w:lvlText w:val="%1、"/>
      <w:lvlJc w:val="left"/>
      <w:pPr>
        <w:ind w:left="0" w:firstLine="420"/>
      </w:pPr>
      <w:rPr>
        <w:rFonts w:hint="eastAsia"/>
      </w:rPr>
    </w:lvl>
  </w:abstractNum>
  <w:abstractNum w:abstractNumId="8">
    <w:nsid w:val="FC003789"/>
    <w:multiLevelType w:val="singleLevel"/>
    <w:tmpl w:val="FC003789"/>
    <w:lvl w:ilvl="0" w:tentative="0">
      <w:start w:val="1"/>
      <w:numFmt w:val="decimal"/>
      <w:lvlText w:val="%1."/>
      <w:lvlJc w:val="left"/>
      <w:pPr>
        <w:ind w:left="425" w:hanging="425"/>
      </w:pPr>
      <w:rPr>
        <w:rFonts w:hint="default"/>
      </w:rPr>
    </w:lvl>
  </w:abstractNum>
  <w:abstractNum w:abstractNumId="9">
    <w:nsid w:val="FD15F994"/>
    <w:multiLevelType w:val="singleLevel"/>
    <w:tmpl w:val="FD15F994"/>
    <w:lvl w:ilvl="0" w:tentative="0">
      <w:start w:val="1"/>
      <w:numFmt w:val="decimal"/>
      <w:lvlText w:val="%1."/>
      <w:lvlJc w:val="left"/>
      <w:pPr>
        <w:ind w:left="425" w:hanging="425"/>
      </w:pPr>
      <w:rPr>
        <w:rFonts w:hint="default"/>
      </w:rPr>
    </w:lvl>
  </w:abstractNum>
  <w:abstractNum w:abstractNumId="10">
    <w:nsid w:val="FF7C7A33"/>
    <w:multiLevelType w:val="singleLevel"/>
    <w:tmpl w:val="FF7C7A33"/>
    <w:lvl w:ilvl="0" w:tentative="0">
      <w:start w:val="1"/>
      <w:numFmt w:val="decimal"/>
      <w:lvlText w:val="%1."/>
      <w:lvlJc w:val="left"/>
      <w:pPr>
        <w:ind w:left="425" w:hanging="425"/>
      </w:pPr>
      <w:rPr>
        <w:rFonts w:hint="default"/>
      </w:rPr>
    </w:lvl>
  </w:abstractNum>
  <w:abstractNum w:abstractNumId="11">
    <w:nsid w:val="12006407"/>
    <w:multiLevelType w:val="singleLevel"/>
    <w:tmpl w:val="12006407"/>
    <w:lvl w:ilvl="0" w:tentative="0">
      <w:start w:val="1"/>
      <w:numFmt w:val="chineseCounting"/>
      <w:suff w:val="nothing"/>
      <w:lvlText w:val="%1、"/>
      <w:lvlJc w:val="left"/>
      <w:pPr>
        <w:ind w:left="0" w:firstLine="420"/>
      </w:pPr>
      <w:rPr>
        <w:rFonts w:hint="eastAsia"/>
      </w:rPr>
    </w:lvl>
  </w:abstractNum>
  <w:abstractNum w:abstractNumId="12">
    <w:nsid w:val="535244E8"/>
    <w:multiLevelType w:val="singleLevel"/>
    <w:tmpl w:val="535244E8"/>
    <w:lvl w:ilvl="0" w:tentative="0">
      <w:start w:val="1"/>
      <w:numFmt w:val="decimal"/>
      <w:lvlText w:val="%1."/>
      <w:lvlJc w:val="left"/>
      <w:pPr>
        <w:ind w:left="425" w:hanging="425"/>
      </w:pPr>
      <w:rPr>
        <w:rFonts w:hint="default"/>
      </w:rPr>
    </w:lvl>
  </w:abstractNum>
  <w:abstractNum w:abstractNumId="13">
    <w:nsid w:val="57FB7DDC"/>
    <w:multiLevelType w:val="multilevel"/>
    <w:tmpl w:val="57FB7DDC"/>
    <w:lvl w:ilvl="0" w:tentative="0">
      <w:start w:val="1"/>
      <w:numFmt w:val="bullet"/>
      <w:pStyle w:val="19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13"/>
  </w:num>
  <w:num w:numId="2">
    <w:abstractNumId w:val="1"/>
  </w:num>
  <w:num w:numId="3">
    <w:abstractNumId w:val="3"/>
  </w:num>
  <w:num w:numId="4">
    <w:abstractNumId w:val="10"/>
  </w:num>
  <w:num w:numId="5">
    <w:abstractNumId w:val="4"/>
  </w:num>
  <w:num w:numId="6">
    <w:abstractNumId w:val="2"/>
  </w:num>
  <w:num w:numId="7">
    <w:abstractNumId w:val="5"/>
  </w:num>
  <w:num w:numId="8">
    <w:abstractNumId w:val="9"/>
  </w:num>
  <w:num w:numId="9">
    <w:abstractNumId w:val="0"/>
  </w:num>
  <w:num w:numId="10">
    <w:abstractNumId w:val="6"/>
  </w:num>
  <w:num w:numId="11">
    <w:abstractNumId w:val="7"/>
  </w:num>
  <w:num w:numId="12">
    <w:abstractNumId w:val="8"/>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kYjViZWMyN2JmOWQ0NmMwMTJmYTg2MmFlZWIyZjUifQ=="/>
  </w:docVars>
  <w:rsids>
    <w:rsidRoot w:val="002264AA"/>
    <w:rsid w:val="00011506"/>
    <w:rsid w:val="000125C7"/>
    <w:rsid w:val="00017F08"/>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60765"/>
    <w:rsid w:val="002607FA"/>
    <w:rsid w:val="002733C2"/>
    <w:rsid w:val="00275EB2"/>
    <w:rsid w:val="00292763"/>
    <w:rsid w:val="002944CA"/>
    <w:rsid w:val="00297F49"/>
    <w:rsid w:val="002A47F6"/>
    <w:rsid w:val="002A4D0B"/>
    <w:rsid w:val="002D3C22"/>
    <w:rsid w:val="00303E75"/>
    <w:rsid w:val="00323D52"/>
    <w:rsid w:val="00337B10"/>
    <w:rsid w:val="00344EC9"/>
    <w:rsid w:val="003611C5"/>
    <w:rsid w:val="00361F91"/>
    <w:rsid w:val="00372B45"/>
    <w:rsid w:val="003B0546"/>
    <w:rsid w:val="003B5D5B"/>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510ABE"/>
    <w:rsid w:val="00512B42"/>
    <w:rsid w:val="00527237"/>
    <w:rsid w:val="005319D6"/>
    <w:rsid w:val="00553EE8"/>
    <w:rsid w:val="00557B55"/>
    <w:rsid w:val="00565971"/>
    <w:rsid w:val="00566007"/>
    <w:rsid w:val="00581364"/>
    <w:rsid w:val="00590B33"/>
    <w:rsid w:val="0059538B"/>
    <w:rsid w:val="005B2924"/>
    <w:rsid w:val="00602192"/>
    <w:rsid w:val="006158DB"/>
    <w:rsid w:val="0061641C"/>
    <w:rsid w:val="00626C56"/>
    <w:rsid w:val="00627B45"/>
    <w:rsid w:val="006324E6"/>
    <w:rsid w:val="00673E4F"/>
    <w:rsid w:val="00685C68"/>
    <w:rsid w:val="00685E31"/>
    <w:rsid w:val="00694A2A"/>
    <w:rsid w:val="006C588D"/>
    <w:rsid w:val="006D2788"/>
    <w:rsid w:val="006E1E19"/>
    <w:rsid w:val="00713776"/>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65881"/>
    <w:rsid w:val="00973627"/>
    <w:rsid w:val="00975668"/>
    <w:rsid w:val="0098165D"/>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911F0"/>
    <w:rsid w:val="00BA509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F35FF"/>
    <w:rsid w:val="012E69FA"/>
    <w:rsid w:val="015A163A"/>
    <w:rsid w:val="01DA343F"/>
    <w:rsid w:val="037F0B26"/>
    <w:rsid w:val="05333456"/>
    <w:rsid w:val="059503E5"/>
    <w:rsid w:val="05D709B3"/>
    <w:rsid w:val="06710E08"/>
    <w:rsid w:val="07C20BED"/>
    <w:rsid w:val="08FD6983"/>
    <w:rsid w:val="0A7753AE"/>
    <w:rsid w:val="0B83397C"/>
    <w:rsid w:val="0BDF2CAF"/>
    <w:rsid w:val="0BF00DA4"/>
    <w:rsid w:val="0EF02652"/>
    <w:rsid w:val="129544B2"/>
    <w:rsid w:val="13E44EDE"/>
    <w:rsid w:val="19BC5BE6"/>
    <w:rsid w:val="19DC576F"/>
    <w:rsid w:val="1A5F06D7"/>
    <w:rsid w:val="1B09545F"/>
    <w:rsid w:val="1DBB4EF2"/>
    <w:rsid w:val="1DBC650F"/>
    <w:rsid w:val="1E4F1A12"/>
    <w:rsid w:val="1F7F7912"/>
    <w:rsid w:val="206F557C"/>
    <w:rsid w:val="21CA6472"/>
    <w:rsid w:val="22AA393E"/>
    <w:rsid w:val="24C25007"/>
    <w:rsid w:val="262A7ACF"/>
    <w:rsid w:val="271D349F"/>
    <w:rsid w:val="2B2963D3"/>
    <w:rsid w:val="2E095F27"/>
    <w:rsid w:val="2E287082"/>
    <w:rsid w:val="2E6E18BF"/>
    <w:rsid w:val="2E884201"/>
    <w:rsid w:val="2F2C5770"/>
    <w:rsid w:val="2F535254"/>
    <w:rsid w:val="331367BC"/>
    <w:rsid w:val="34EE008B"/>
    <w:rsid w:val="352B33FC"/>
    <w:rsid w:val="35805CB4"/>
    <w:rsid w:val="36CA3141"/>
    <w:rsid w:val="37C130EE"/>
    <w:rsid w:val="38593614"/>
    <w:rsid w:val="39301A51"/>
    <w:rsid w:val="3A4103F8"/>
    <w:rsid w:val="3B5C3CD3"/>
    <w:rsid w:val="3BF15DAC"/>
    <w:rsid w:val="3DA4759C"/>
    <w:rsid w:val="3DFE745B"/>
    <w:rsid w:val="3E2B711B"/>
    <w:rsid w:val="3E2D1012"/>
    <w:rsid w:val="3E48145F"/>
    <w:rsid w:val="3F734081"/>
    <w:rsid w:val="409018AF"/>
    <w:rsid w:val="40E94034"/>
    <w:rsid w:val="412709D8"/>
    <w:rsid w:val="41627833"/>
    <w:rsid w:val="416D419A"/>
    <w:rsid w:val="421443FB"/>
    <w:rsid w:val="427239F0"/>
    <w:rsid w:val="43426C26"/>
    <w:rsid w:val="44E76487"/>
    <w:rsid w:val="4535060E"/>
    <w:rsid w:val="45D43FEC"/>
    <w:rsid w:val="469B3D4F"/>
    <w:rsid w:val="473A03ED"/>
    <w:rsid w:val="49B25227"/>
    <w:rsid w:val="4B863339"/>
    <w:rsid w:val="4CEE1CF2"/>
    <w:rsid w:val="4D25098E"/>
    <w:rsid w:val="4D77632F"/>
    <w:rsid w:val="4E7C3473"/>
    <w:rsid w:val="501778F7"/>
    <w:rsid w:val="50CF0D56"/>
    <w:rsid w:val="52C021AE"/>
    <w:rsid w:val="5371335C"/>
    <w:rsid w:val="5389510F"/>
    <w:rsid w:val="56E97E3E"/>
    <w:rsid w:val="59A549DC"/>
    <w:rsid w:val="5BB838A1"/>
    <w:rsid w:val="5CF501E7"/>
    <w:rsid w:val="5E4E4400"/>
    <w:rsid w:val="5E5E67D4"/>
    <w:rsid w:val="60BA47AE"/>
    <w:rsid w:val="61E26848"/>
    <w:rsid w:val="63D92820"/>
    <w:rsid w:val="63E1229E"/>
    <w:rsid w:val="64917820"/>
    <w:rsid w:val="67C41429"/>
    <w:rsid w:val="685F15E7"/>
    <w:rsid w:val="690540BF"/>
    <w:rsid w:val="699B0761"/>
    <w:rsid w:val="6A0856B9"/>
    <w:rsid w:val="6C146FEA"/>
    <w:rsid w:val="6CE12E64"/>
    <w:rsid w:val="6CEA0C57"/>
    <w:rsid w:val="6D024D8C"/>
    <w:rsid w:val="6ECC7A0D"/>
    <w:rsid w:val="709F0097"/>
    <w:rsid w:val="70EA395C"/>
    <w:rsid w:val="711F574D"/>
    <w:rsid w:val="71C45194"/>
    <w:rsid w:val="733D6665"/>
    <w:rsid w:val="7397006E"/>
    <w:rsid w:val="740D6797"/>
    <w:rsid w:val="748B756C"/>
    <w:rsid w:val="75CC49D7"/>
    <w:rsid w:val="77C35AEB"/>
    <w:rsid w:val="79715BD1"/>
    <w:rsid w:val="7A5944E4"/>
    <w:rsid w:val="7C3A20F4"/>
    <w:rsid w:val="7CA25B04"/>
    <w:rsid w:val="7CC5684D"/>
    <w:rsid w:val="7DD03920"/>
    <w:rsid w:val="7DF33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1"/>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3">
    <w:name w:val="heading 2"/>
    <w:basedOn w:val="1"/>
    <w:next w:val="1"/>
    <w:link w:val="42"/>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5"/>
    <w:link w:val="43"/>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6">
    <w:name w:val="heading 4"/>
    <w:basedOn w:val="1"/>
    <w:next w:val="1"/>
    <w:link w:val="44"/>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45"/>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46"/>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47"/>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48"/>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49"/>
    <w:qFormat/>
    <w:uiPriority w:val="0"/>
    <w:pPr>
      <w:keepNext/>
      <w:keepLines/>
      <w:spacing w:before="240" w:after="64" w:line="320" w:lineRule="auto"/>
      <w:outlineLvl w:val="8"/>
    </w:pPr>
    <w:rPr>
      <w:rFonts w:ascii="Arial" w:hAnsi="Arial" w:eastAsia="黑体" w:cs="Times New Roman"/>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12">
    <w:name w:val="Document Map"/>
    <w:basedOn w:val="1"/>
    <w:link w:val="202"/>
    <w:qFormat/>
    <w:uiPriority w:val="0"/>
    <w:rPr>
      <w:rFonts w:ascii="宋体" w:hAnsi="Times New Roman" w:eastAsia="宋体" w:cs="Times New Roman"/>
      <w:sz w:val="18"/>
      <w:szCs w:val="18"/>
    </w:rPr>
  </w:style>
  <w:style w:type="paragraph" w:styleId="13">
    <w:name w:val="annotation text"/>
    <w:basedOn w:val="1"/>
    <w:link w:val="125"/>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4">
    <w:name w:val="Body Text 3"/>
    <w:basedOn w:val="1"/>
    <w:link w:val="175"/>
    <w:qFormat/>
    <w:uiPriority w:val="0"/>
    <w:rPr>
      <w:rFonts w:ascii="Times New Roman" w:hAnsi="Times New Roman" w:eastAsia="宋体" w:cs="Times New Roman"/>
      <w:sz w:val="48"/>
      <w:szCs w:val="48"/>
    </w:rPr>
  </w:style>
  <w:style w:type="paragraph" w:styleId="15">
    <w:name w:val="Body Text"/>
    <w:basedOn w:val="1"/>
    <w:link w:val="102"/>
    <w:qFormat/>
    <w:uiPriority w:val="0"/>
    <w:pPr>
      <w:spacing w:after="120"/>
    </w:pPr>
    <w:rPr>
      <w:rFonts w:ascii="Times New Roman" w:hAnsi="Times New Roman" w:eastAsia="宋体" w:cs="Times New Roman"/>
      <w:szCs w:val="20"/>
    </w:rPr>
  </w:style>
  <w:style w:type="paragraph" w:styleId="16">
    <w:name w:val="Body Text Indent"/>
    <w:basedOn w:val="1"/>
    <w:link w:val="103"/>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1"/>
    <w:qFormat/>
    <w:uiPriority w:val="0"/>
    <w:rPr>
      <w:rFonts w:ascii="宋体" w:hAnsi="Courier New" w:eastAsia="宋体" w:cs="Times New Roman"/>
      <w:szCs w:val="20"/>
    </w:rPr>
  </w:style>
  <w:style w:type="paragraph" w:styleId="19">
    <w:name w:val="Date"/>
    <w:basedOn w:val="1"/>
    <w:next w:val="1"/>
    <w:link w:val="52"/>
    <w:qFormat/>
    <w:uiPriority w:val="0"/>
    <w:rPr>
      <w:rFonts w:ascii="宋体" w:hAnsi="Times New Roman" w:eastAsia="宋体" w:cs="Times New Roman"/>
      <w:b/>
      <w:sz w:val="36"/>
      <w:szCs w:val="20"/>
    </w:rPr>
  </w:style>
  <w:style w:type="paragraph" w:styleId="20">
    <w:name w:val="Body Text Indent 2"/>
    <w:basedOn w:val="1"/>
    <w:link w:val="109"/>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10"/>
    <w:semiHidden/>
    <w:qFormat/>
    <w:uiPriority w:val="0"/>
    <w:rPr>
      <w:rFonts w:ascii="Times New Roman" w:hAnsi="Times New Roman" w:eastAsia="宋体" w:cs="Times New Roman"/>
      <w:sz w:val="18"/>
      <w:szCs w:val="18"/>
    </w:rPr>
  </w:style>
  <w:style w:type="paragraph" w:styleId="22">
    <w:name w:val="footer"/>
    <w:basedOn w:val="1"/>
    <w:link w:val="40"/>
    <w:unhideWhenUsed/>
    <w:qFormat/>
    <w:uiPriority w:val="99"/>
    <w:pPr>
      <w:tabs>
        <w:tab w:val="center" w:pos="4153"/>
        <w:tab w:val="right" w:pos="8306"/>
      </w:tabs>
      <w:snapToGrid w:val="0"/>
      <w:jc w:val="left"/>
    </w:pPr>
    <w:rPr>
      <w:sz w:val="18"/>
      <w:szCs w:val="18"/>
    </w:rPr>
  </w:style>
  <w:style w:type="paragraph" w:styleId="23">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4"/>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1"/>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5"/>
    <w:qFormat/>
    <w:uiPriority w:val="0"/>
    <w:pPr>
      <w:jc w:val="center"/>
    </w:pPr>
    <w:rPr>
      <w:rFonts w:ascii="楷体_GB2312" w:hAnsi="Times New Roman" w:eastAsia="楷体_GB2312" w:cs="Times New Roman"/>
      <w:b/>
      <w:sz w:val="72"/>
      <w:szCs w:val="20"/>
    </w:rPr>
  </w:style>
  <w:style w:type="paragraph" w:styleId="28">
    <w:name w:val="HTML Preformatted"/>
    <w:basedOn w:val="1"/>
    <w:link w:val="20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Title"/>
    <w:basedOn w:val="1"/>
    <w:link w:val="132"/>
    <w:qFormat/>
    <w:uiPriority w:val="0"/>
    <w:pPr>
      <w:spacing w:before="240" w:after="60"/>
      <w:jc w:val="center"/>
      <w:outlineLvl w:val="0"/>
    </w:pPr>
    <w:rPr>
      <w:rFonts w:ascii="Arial" w:hAnsi="Arial" w:eastAsia="黑体" w:cs="Times New Roman"/>
      <w:b/>
      <w:sz w:val="36"/>
      <w:szCs w:val="20"/>
    </w:rPr>
  </w:style>
  <w:style w:type="paragraph" w:styleId="30">
    <w:name w:val="annotation subject"/>
    <w:basedOn w:val="13"/>
    <w:next w:val="13"/>
    <w:link w:val="176"/>
    <w:qFormat/>
    <w:uiPriority w:val="0"/>
    <w:pPr>
      <w:adjustRightInd/>
      <w:spacing w:line="240" w:lineRule="auto"/>
      <w:textAlignment w:val="auto"/>
    </w:pPr>
    <w:rPr>
      <w:b/>
      <w:bCs/>
      <w:kern w:val="2"/>
      <w:sz w:val="21"/>
      <w:szCs w:val="24"/>
    </w:rPr>
  </w:style>
  <w:style w:type="table" w:styleId="32">
    <w:name w:val="Table Grid"/>
    <w:basedOn w:val="31"/>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page number"/>
    <w:basedOn w:val="33"/>
    <w:qFormat/>
    <w:uiPriority w:val="0"/>
  </w:style>
  <w:style w:type="character" w:styleId="35">
    <w:name w:val="FollowedHyperlink"/>
    <w:basedOn w:val="33"/>
    <w:semiHidden/>
    <w:unhideWhenUsed/>
    <w:qFormat/>
    <w:uiPriority w:val="99"/>
    <w:rPr>
      <w:color w:val="954F72" w:themeColor="followedHyperlink"/>
      <w:u w:val="single"/>
      <w14:textFill>
        <w14:solidFill>
          <w14:schemeClr w14:val="folHlink"/>
        </w14:solidFill>
      </w14:textFill>
    </w:rPr>
  </w:style>
  <w:style w:type="character" w:styleId="36">
    <w:name w:val="Emphasis"/>
    <w:basedOn w:val="33"/>
    <w:qFormat/>
    <w:uiPriority w:val="20"/>
    <w:rPr>
      <w:i/>
    </w:rPr>
  </w:style>
  <w:style w:type="character" w:styleId="37">
    <w:name w:val="Hyperlink"/>
    <w:qFormat/>
    <w:uiPriority w:val="0"/>
    <w:rPr>
      <w:color w:val="0000FF"/>
      <w:u w:val="single"/>
    </w:rPr>
  </w:style>
  <w:style w:type="character" w:styleId="38">
    <w:name w:val="annotation reference"/>
    <w:qFormat/>
    <w:uiPriority w:val="0"/>
    <w:rPr>
      <w:sz w:val="21"/>
      <w:szCs w:val="21"/>
    </w:rPr>
  </w:style>
  <w:style w:type="character" w:customStyle="1" w:styleId="39">
    <w:name w:val="页眉 Char1"/>
    <w:basedOn w:val="33"/>
    <w:link w:val="23"/>
    <w:qFormat/>
    <w:uiPriority w:val="99"/>
    <w:rPr>
      <w:sz w:val="18"/>
      <w:szCs w:val="18"/>
    </w:rPr>
  </w:style>
  <w:style w:type="character" w:customStyle="1" w:styleId="40">
    <w:name w:val="页脚 Char1"/>
    <w:basedOn w:val="33"/>
    <w:link w:val="22"/>
    <w:qFormat/>
    <w:uiPriority w:val="99"/>
    <w:rPr>
      <w:sz w:val="18"/>
      <w:szCs w:val="18"/>
    </w:rPr>
  </w:style>
  <w:style w:type="character" w:customStyle="1" w:styleId="41">
    <w:name w:val="标题 1 Char"/>
    <w:basedOn w:val="33"/>
    <w:link w:val="2"/>
    <w:qFormat/>
    <w:uiPriority w:val="0"/>
    <w:rPr>
      <w:rFonts w:ascii="Times New Roman" w:hAnsi="Times New Roman" w:eastAsia="宋体" w:cs="Times New Roman"/>
      <w:b/>
      <w:kern w:val="44"/>
      <w:sz w:val="44"/>
      <w:szCs w:val="20"/>
    </w:rPr>
  </w:style>
  <w:style w:type="character" w:customStyle="1" w:styleId="42">
    <w:name w:val="标题 2 Char"/>
    <w:basedOn w:val="33"/>
    <w:link w:val="3"/>
    <w:qFormat/>
    <w:uiPriority w:val="0"/>
    <w:rPr>
      <w:rFonts w:ascii="Arial" w:hAnsi="Arial" w:eastAsia="黑体" w:cs="Times New Roman"/>
      <w:b/>
      <w:bCs/>
      <w:sz w:val="32"/>
      <w:szCs w:val="32"/>
    </w:rPr>
  </w:style>
  <w:style w:type="character" w:customStyle="1" w:styleId="43">
    <w:name w:val="标题 3 Char"/>
    <w:basedOn w:val="33"/>
    <w:link w:val="4"/>
    <w:qFormat/>
    <w:uiPriority w:val="0"/>
    <w:rPr>
      <w:rFonts w:ascii="Times New Roman" w:hAnsi="Times New Roman" w:eastAsia="宋体" w:cs="Times New Roman"/>
      <w:b/>
      <w:sz w:val="32"/>
      <w:szCs w:val="20"/>
    </w:rPr>
  </w:style>
  <w:style w:type="character" w:customStyle="1" w:styleId="44">
    <w:name w:val="标题 4 Char"/>
    <w:basedOn w:val="33"/>
    <w:link w:val="6"/>
    <w:qFormat/>
    <w:uiPriority w:val="0"/>
    <w:rPr>
      <w:rFonts w:ascii="Arial" w:hAnsi="Arial" w:eastAsia="黑体" w:cs="Times New Roman"/>
      <w:b/>
      <w:bCs/>
      <w:sz w:val="28"/>
      <w:szCs w:val="28"/>
    </w:rPr>
  </w:style>
  <w:style w:type="character" w:customStyle="1" w:styleId="45">
    <w:name w:val="标题 5 Char"/>
    <w:basedOn w:val="33"/>
    <w:link w:val="7"/>
    <w:qFormat/>
    <w:uiPriority w:val="0"/>
    <w:rPr>
      <w:rFonts w:ascii="Times New Roman" w:hAnsi="Times New Roman" w:eastAsia="宋体" w:cs="Times New Roman"/>
      <w:b/>
      <w:bCs/>
      <w:sz w:val="28"/>
      <w:szCs w:val="28"/>
    </w:rPr>
  </w:style>
  <w:style w:type="character" w:customStyle="1" w:styleId="46">
    <w:name w:val="标题 6 Char"/>
    <w:basedOn w:val="33"/>
    <w:link w:val="8"/>
    <w:qFormat/>
    <w:uiPriority w:val="0"/>
    <w:rPr>
      <w:rFonts w:ascii="Arial" w:hAnsi="Arial" w:eastAsia="黑体" w:cs="Times New Roman"/>
      <w:b/>
      <w:bCs/>
      <w:sz w:val="24"/>
      <w:szCs w:val="24"/>
    </w:rPr>
  </w:style>
  <w:style w:type="character" w:customStyle="1" w:styleId="47">
    <w:name w:val="标题 7 Char"/>
    <w:basedOn w:val="33"/>
    <w:link w:val="9"/>
    <w:qFormat/>
    <w:uiPriority w:val="0"/>
    <w:rPr>
      <w:rFonts w:ascii="Times New Roman" w:hAnsi="Times New Roman" w:eastAsia="宋体" w:cs="Times New Roman"/>
      <w:b/>
      <w:bCs/>
      <w:sz w:val="24"/>
      <w:szCs w:val="24"/>
    </w:rPr>
  </w:style>
  <w:style w:type="character" w:customStyle="1" w:styleId="48">
    <w:name w:val="标题 8 Char"/>
    <w:basedOn w:val="33"/>
    <w:link w:val="10"/>
    <w:qFormat/>
    <w:uiPriority w:val="0"/>
    <w:rPr>
      <w:rFonts w:ascii="Arial" w:hAnsi="Arial" w:eastAsia="黑体" w:cs="Times New Roman"/>
      <w:sz w:val="24"/>
      <w:szCs w:val="24"/>
    </w:rPr>
  </w:style>
  <w:style w:type="character" w:customStyle="1" w:styleId="49">
    <w:name w:val="标题 9 Char"/>
    <w:basedOn w:val="33"/>
    <w:link w:val="11"/>
    <w:qFormat/>
    <w:uiPriority w:val="0"/>
    <w:rPr>
      <w:rFonts w:ascii="Arial" w:hAnsi="Arial" w:eastAsia="黑体" w:cs="Times New Roman"/>
      <w:szCs w:val="21"/>
    </w:rPr>
  </w:style>
  <w:style w:type="paragraph" w:customStyle="1" w:styleId="50">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1">
    <w:name w:val="纯文本 Char"/>
    <w:basedOn w:val="33"/>
    <w:link w:val="18"/>
    <w:qFormat/>
    <w:uiPriority w:val="0"/>
    <w:rPr>
      <w:rFonts w:ascii="宋体" w:hAnsi="Courier New" w:eastAsia="宋体" w:cs="Times New Roman"/>
      <w:szCs w:val="20"/>
    </w:rPr>
  </w:style>
  <w:style w:type="character" w:customStyle="1" w:styleId="52">
    <w:name w:val="日期 Char"/>
    <w:basedOn w:val="33"/>
    <w:link w:val="19"/>
    <w:qFormat/>
    <w:uiPriority w:val="0"/>
    <w:rPr>
      <w:rFonts w:ascii="宋体" w:hAnsi="Times New Roman" w:eastAsia="宋体" w:cs="Times New Roman"/>
      <w:b/>
      <w:sz w:val="36"/>
      <w:szCs w:val="20"/>
    </w:rPr>
  </w:style>
  <w:style w:type="paragraph" w:customStyle="1" w:styleId="53">
    <w:name w:val="_Style 32"/>
    <w:basedOn w:val="1"/>
    <w:next w:val="54"/>
    <w:qFormat/>
    <w:uiPriority w:val="0"/>
    <w:pPr>
      <w:ind w:firstLine="420" w:firstLineChars="200"/>
    </w:pPr>
    <w:rPr>
      <w:rFonts w:ascii="Times New Roman" w:hAnsi="Times New Roman" w:eastAsia="宋体" w:cs="Times New Roman"/>
      <w:szCs w:val="21"/>
    </w:rPr>
  </w:style>
  <w:style w:type="paragraph" w:styleId="54">
    <w:name w:val="List Paragraph"/>
    <w:basedOn w:val="1"/>
    <w:qFormat/>
    <w:uiPriority w:val="34"/>
    <w:pPr>
      <w:ind w:firstLine="420" w:firstLineChars="200"/>
    </w:pPr>
  </w:style>
  <w:style w:type="paragraph" w:customStyle="1" w:styleId="55">
    <w:name w:val="itb"/>
    <w:basedOn w:val="4"/>
    <w:qFormat/>
    <w:uiPriority w:val="0"/>
    <w:pPr>
      <w:jc w:val="center"/>
    </w:pPr>
    <w:rPr>
      <w:rFonts w:ascii="楷体_GB2312" w:eastAsia="楷体_GB2312"/>
      <w:sz w:val="36"/>
    </w:rPr>
  </w:style>
  <w:style w:type="paragraph" w:customStyle="1" w:styleId="56">
    <w:name w:val="itb0"/>
    <w:basedOn w:val="55"/>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57">
    <w:name w:val="itb1"/>
    <w:basedOn w:val="5"/>
    <w:qFormat/>
    <w:uiPriority w:val="0"/>
    <w:pPr>
      <w:autoSpaceDE w:val="0"/>
      <w:autoSpaceDN w:val="0"/>
      <w:spacing w:before="120" w:after="120" w:line="360" w:lineRule="exact"/>
      <w:ind w:left="525" w:hanging="527"/>
    </w:pPr>
    <w:rPr>
      <w:rFonts w:eastAsia="华文仿宋"/>
      <w:b/>
      <w:bCs/>
      <w:sz w:val="24"/>
    </w:rPr>
  </w:style>
  <w:style w:type="paragraph" w:customStyle="1" w:styleId="58">
    <w:name w:val="itb2"/>
    <w:basedOn w:val="5"/>
    <w:qFormat/>
    <w:uiPriority w:val="0"/>
    <w:pPr>
      <w:autoSpaceDE w:val="0"/>
      <w:autoSpaceDN w:val="0"/>
      <w:spacing w:before="120" w:after="120" w:line="400" w:lineRule="exact"/>
      <w:ind w:left="527" w:hanging="527"/>
    </w:pPr>
    <w:rPr>
      <w:rFonts w:eastAsia="华文仿宋"/>
      <w:sz w:val="24"/>
    </w:rPr>
  </w:style>
  <w:style w:type="paragraph" w:customStyle="1" w:styleId="59">
    <w:name w:val="itb3"/>
    <w:basedOn w:val="5"/>
    <w:qFormat/>
    <w:uiPriority w:val="0"/>
    <w:pPr>
      <w:autoSpaceDE w:val="0"/>
      <w:autoSpaceDN w:val="0"/>
      <w:spacing w:beforeLines="50" w:afterLines="50" w:line="360" w:lineRule="exact"/>
      <w:ind w:left="845" w:hanging="318"/>
    </w:pPr>
    <w:rPr>
      <w:rFonts w:eastAsia="华文仿宋"/>
      <w:sz w:val="24"/>
    </w:rPr>
  </w:style>
  <w:style w:type="paragraph" w:customStyle="1" w:styleId="60">
    <w:name w:val="itb4"/>
    <w:basedOn w:val="5"/>
    <w:qFormat/>
    <w:uiPriority w:val="0"/>
    <w:pPr>
      <w:autoSpaceDE w:val="0"/>
      <w:autoSpaceDN w:val="0"/>
      <w:spacing w:before="60" w:after="60" w:line="360" w:lineRule="exact"/>
      <w:ind w:left="1576" w:hanging="527"/>
    </w:pPr>
    <w:rPr>
      <w:rFonts w:eastAsia="华文仿宋"/>
      <w:sz w:val="24"/>
    </w:rPr>
  </w:style>
  <w:style w:type="paragraph" w:customStyle="1" w:styleId="61">
    <w:name w:val="itb5"/>
    <w:basedOn w:val="5"/>
    <w:qFormat/>
    <w:uiPriority w:val="0"/>
    <w:pPr>
      <w:autoSpaceDE w:val="0"/>
      <w:autoSpaceDN w:val="0"/>
      <w:spacing w:line="360" w:lineRule="exact"/>
      <w:ind w:left="1996" w:hanging="420"/>
    </w:pPr>
    <w:rPr>
      <w:rFonts w:eastAsia="华文仿宋"/>
      <w:spacing w:val="6"/>
      <w:sz w:val="24"/>
    </w:rPr>
  </w:style>
  <w:style w:type="paragraph" w:customStyle="1" w:styleId="62">
    <w:name w:val="itb3t"/>
    <w:basedOn w:val="58"/>
    <w:qFormat/>
    <w:uiPriority w:val="0"/>
    <w:pPr>
      <w:ind w:left="1785" w:firstLine="0"/>
    </w:pPr>
  </w:style>
  <w:style w:type="paragraph" w:customStyle="1" w:styleId="63">
    <w:name w:val="gcc"/>
    <w:basedOn w:val="55"/>
    <w:qFormat/>
    <w:uiPriority w:val="0"/>
  </w:style>
  <w:style w:type="paragraph" w:customStyle="1" w:styleId="64">
    <w:name w:val="gcc0"/>
    <w:basedOn w:val="56"/>
    <w:qFormat/>
    <w:uiPriority w:val="0"/>
  </w:style>
  <w:style w:type="paragraph" w:customStyle="1" w:styleId="65">
    <w:name w:val="gcc1"/>
    <w:basedOn w:val="57"/>
    <w:qFormat/>
    <w:uiPriority w:val="0"/>
    <w:pPr>
      <w:ind w:left="527"/>
    </w:pPr>
  </w:style>
  <w:style w:type="paragraph" w:customStyle="1" w:styleId="66">
    <w:name w:val="gcc1t"/>
    <w:basedOn w:val="5"/>
    <w:qFormat/>
    <w:uiPriority w:val="0"/>
    <w:pPr>
      <w:spacing w:line="360" w:lineRule="auto"/>
      <w:ind w:left="525" w:firstLine="0"/>
    </w:pPr>
    <w:rPr>
      <w:rFonts w:eastAsia="楷体_GB2312"/>
      <w:sz w:val="24"/>
    </w:rPr>
  </w:style>
  <w:style w:type="paragraph" w:customStyle="1" w:styleId="67">
    <w:name w:val="gcc2"/>
    <w:basedOn w:val="58"/>
    <w:qFormat/>
    <w:uiPriority w:val="0"/>
    <w:pPr>
      <w:ind w:left="525" w:hanging="525"/>
    </w:pPr>
  </w:style>
  <w:style w:type="paragraph" w:customStyle="1" w:styleId="68">
    <w:name w:val="gcc3"/>
    <w:basedOn w:val="59"/>
    <w:qFormat/>
    <w:uiPriority w:val="0"/>
    <w:pPr>
      <w:ind w:left="947" w:hanging="420"/>
    </w:pPr>
    <w:rPr>
      <w:spacing w:val="6"/>
    </w:rPr>
  </w:style>
  <w:style w:type="paragraph" w:customStyle="1" w:styleId="69">
    <w:name w:val="gcc4t"/>
    <w:basedOn w:val="68"/>
    <w:qFormat/>
    <w:uiPriority w:val="0"/>
    <w:pPr>
      <w:ind w:left="945" w:firstLine="0"/>
    </w:pPr>
  </w:style>
  <w:style w:type="paragraph" w:customStyle="1" w:styleId="70">
    <w:name w:val="gcc4"/>
    <w:basedOn w:val="60"/>
    <w:qFormat/>
    <w:uiPriority w:val="0"/>
    <w:pPr>
      <w:ind w:left="945" w:hanging="420"/>
    </w:pPr>
  </w:style>
  <w:style w:type="paragraph" w:customStyle="1" w:styleId="71">
    <w:name w:val="cf"/>
    <w:basedOn w:val="55"/>
    <w:qFormat/>
    <w:uiPriority w:val="0"/>
    <w:pPr>
      <w:spacing w:before="0" w:after="0" w:line="415" w:lineRule="auto"/>
    </w:pPr>
  </w:style>
  <w:style w:type="paragraph" w:customStyle="1" w:styleId="72">
    <w:name w:val="cft"/>
    <w:basedOn w:val="66"/>
    <w:qFormat/>
    <w:uiPriority w:val="0"/>
    <w:pPr>
      <w:ind w:left="0"/>
    </w:pPr>
  </w:style>
  <w:style w:type="paragraph" w:customStyle="1" w:styleId="73">
    <w:name w:val="cf1"/>
    <w:basedOn w:val="57"/>
    <w:qFormat/>
    <w:uiPriority w:val="0"/>
    <w:rPr>
      <w:b w:val="0"/>
      <w:bCs w:val="0"/>
    </w:rPr>
  </w:style>
  <w:style w:type="paragraph" w:customStyle="1" w:styleId="74">
    <w:name w:val="cf2"/>
    <w:basedOn w:val="67"/>
    <w:qFormat/>
    <w:uiPriority w:val="0"/>
  </w:style>
  <w:style w:type="paragraph" w:customStyle="1" w:styleId="75">
    <w:name w:val="cf2t"/>
    <w:basedOn w:val="5"/>
    <w:qFormat/>
    <w:uiPriority w:val="0"/>
    <w:pPr>
      <w:spacing w:line="360" w:lineRule="auto"/>
      <w:ind w:left="1260" w:firstLine="0"/>
    </w:pPr>
    <w:rPr>
      <w:rFonts w:ascii="楷体_GB2312" w:eastAsia="楷体_GB2312"/>
      <w:sz w:val="24"/>
    </w:rPr>
  </w:style>
  <w:style w:type="paragraph" w:customStyle="1" w:styleId="76">
    <w:name w:val="at"/>
    <w:basedOn w:val="55"/>
    <w:qFormat/>
    <w:uiPriority w:val="0"/>
  </w:style>
  <w:style w:type="paragraph" w:customStyle="1" w:styleId="77">
    <w:name w:val="at0"/>
    <w:basedOn w:val="63"/>
    <w:qFormat/>
    <w:uiPriority w:val="0"/>
    <w:pPr>
      <w:spacing w:before="0" w:after="0" w:line="415" w:lineRule="auto"/>
    </w:pPr>
  </w:style>
  <w:style w:type="paragraph" w:customStyle="1" w:styleId="78">
    <w:name w:val="att"/>
    <w:basedOn w:val="72"/>
    <w:qFormat/>
    <w:uiPriority w:val="0"/>
  </w:style>
  <w:style w:type="paragraph" w:customStyle="1" w:styleId="79">
    <w:name w:val="at1"/>
    <w:basedOn w:val="65"/>
    <w:qFormat/>
    <w:uiPriority w:val="0"/>
    <w:rPr>
      <w:b w:val="0"/>
      <w:bCs w:val="0"/>
    </w:rPr>
  </w:style>
  <w:style w:type="paragraph" w:customStyle="1" w:styleId="80">
    <w:name w:val="at2"/>
    <w:basedOn w:val="67"/>
    <w:qFormat/>
    <w:uiPriority w:val="0"/>
    <w:pPr>
      <w:tabs>
        <w:tab w:val="left" w:pos="8295"/>
      </w:tabs>
    </w:pPr>
  </w:style>
  <w:style w:type="paragraph" w:customStyle="1" w:styleId="81">
    <w:name w:val="at3"/>
    <w:basedOn w:val="68"/>
    <w:qFormat/>
    <w:uiPriority w:val="0"/>
    <w:pPr>
      <w:tabs>
        <w:tab w:val="left" w:pos="8295"/>
      </w:tabs>
    </w:pPr>
  </w:style>
  <w:style w:type="paragraph" w:customStyle="1" w:styleId="82">
    <w:name w:val="ifb"/>
    <w:basedOn w:val="55"/>
    <w:qFormat/>
    <w:uiPriority w:val="0"/>
    <w:pPr>
      <w:spacing w:before="0" w:after="0" w:line="360" w:lineRule="auto"/>
    </w:pPr>
  </w:style>
  <w:style w:type="paragraph" w:customStyle="1" w:styleId="83">
    <w:name w:val="ifb-1"/>
    <w:basedOn w:val="1"/>
    <w:qFormat/>
    <w:uiPriority w:val="0"/>
    <w:pPr>
      <w:ind w:left="420" w:hanging="420"/>
    </w:pPr>
    <w:rPr>
      <w:rFonts w:ascii="楷体_GB2312" w:hAnsi="Times New Roman" w:eastAsia="楷体_GB2312" w:cs="Times New Roman"/>
      <w:szCs w:val="20"/>
    </w:rPr>
  </w:style>
  <w:style w:type="paragraph" w:customStyle="1" w:styleId="84">
    <w:name w:val="cf0"/>
    <w:basedOn w:val="71"/>
    <w:qFormat/>
    <w:uiPriority w:val="0"/>
  </w:style>
  <w:style w:type="paragraph" w:customStyle="1" w:styleId="85">
    <w:name w:val="sor"/>
    <w:basedOn w:val="82"/>
    <w:qFormat/>
    <w:uiPriority w:val="0"/>
  </w:style>
  <w:style w:type="paragraph" w:customStyle="1" w:styleId="86">
    <w:name w:val="itb-1.1.a"/>
    <w:basedOn w:val="1"/>
    <w:qFormat/>
    <w:uiPriority w:val="0"/>
    <w:pPr>
      <w:ind w:left="1470" w:hanging="525"/>
    </w:pPr>
    <w:rPr>
      <w:rFonts w:ascii="楷体_GB2312" w:hAnsi="Times New Roman" w:eastAsia="楷体_GB2312" w:cs="Times New Roman"/>
      <w:szCs w:val="20"/>
    </w:rPr>
  </w:style>
  <w:style w:type="paragraph" w:customStyle="1" w:styleId="87">
    <w:name w:val="atoo"/>
    <w:basedOn w:val="77"/>
    <w:qFormat/>
    <w:uiPriority w:val="0"/>
  </w:style>
  <w:style w:type="paragraph" w:customStyle="1" w:styleId="88">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89">
    <w:name w:val="itb2t"/>
    <w:basedOn w:val="58"/>
    <w:qFormat/>
    <w:uiPriority w:val="0"/>
    <w:pPr>
      <w:ind w:left="1157" w:firstLine="0"/>
    </w:pPr>
  </w:style>
  <w:style w:type="paragraph" w:customStyle="1" w:styleId="90">
    <w:name w:val="itb2.5"/>
    <w:basedOn w:val="5"/>
    <w:qFormat/>
    <w:uiPriority w:val="0"/>
    <w:pPr>
      <w:autoSpaceDE w:val="0"/>
      <w:autoSpaceDN w:val="0"/>
      <w:spacing w:before="120" w:after="120" w:line="360" w:lineRule="exact"/>
      <w:ind w:left="1367" w:hanging="737"/>
    </w:pPr>
    <w:rPr>
      <w:rFonts w:eastAsia="华文仿宋"/>
      <w:sz w:val="24"/>
    </w:rPr>
  </w:style>
  <w:style w:type="paragraph" w:customStyle="1" w:styleId="91">
    <w:name w:val="bds"/>
    <w:basedOn w:val="55"/>
    <w:qFormat/>
    <w:uiPriority w:val="0"/>
    <w:pPr>
      <w:autoSpaceDE w:val="0"/>
      <w:autoSpaceDN w:val="0"/>
      <w:spacing w:line="360" w:lineRule="exact"/>
    </w:pPr>
    <w:rPr>
      <w:rFonts w:ascii="Times New Roman" w:eastAsia="华文仿宋"/>
    </w:rPr>
  </w:style>
  <w:style w:type="paragraph" w:customStyle="1" w:styleId="92">
    <w:name w:val="cbds"/>
    <w:basedOn w:val="91"/>
    <w:qFormat/>
    <w:uiPriority w:val="0"/>
  </w:style>
  <w:style w:type="paragraph" w:customStyle="1" w:styleId="93">
    <w:name w:val="scc-14.5.1"/>
    <w:basedOn w:val="94"/>
    <w:qFormat/>
    <w:uiPriority w:val="0"/>
    <w:pPr>
      <w:spacing w:line="360" w:lineRule="exact"/>
      <w:ind w:left="1467" w:hanging="840"/>
    </w:pPr>
  </w:style>
  <w:style w:type="paragraph" w:customStyle="1" w:styleId="94">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5">
    <w:name w:val="scc-14.5.1.a"/>
    <w:basedOn w:val="96"/>
    <w:qFormat/>
    <w:uiPriority w:val="0"/>
    <w:pPr>
      <w:spacing w:line="360" w:lineRule="exact"/>
      <w:ind w:left="1992" w:hanging="525"/>
    </w:pPr>
  </w:style>
  <w:style w:type="paragraph" w:customStyle="1" w:styleId="96">
    <w:name w:val="SCC-1.1.1.1"/>
    <w:basedOn w:val="94"/>
    <w:qFormat/>
    <w:uiPriority w:val="0"/>
    <w:pPr>
      <w:ind w:left="1890" w:hanging="420"/>
    </w:pPr>
  </w:style>
  <w:style w:type="paragraph" w:customStyle="1" w:styleId="97">
    <w:name w:val="scc-14.5.1.a.i"/>
    <w:basedOn w:val="98"/>
    <w:qFormat/>
    <w:uiPriority w:val="0"/>
    <w:pPr>
      <w:spacing w:line="360" w:lineRule="exact"/>
      <w:ind w:left="2517" w:hanging="525"/>
    </w:pPr>
  </w:style>
  <w:style w:type="paragraph" w:customStyle="1" w:styleId="98">
    <w:name w:val="scc-1.1.1.1.1"/>
    <w:basedOn w:val="96"/>
    <w:qFormat/>
    <w:uiPriority w:val="0"/>
    <w:pPr>
      <w:ind w:left="2205" w:hanging="315"/>
    </w:pPr>
  </w:style>
  <w:style w:type="paragraph" w:customStyle="1" w:styleId="99">
    <w:name w:val="scc-1.1"/>
    <w:basedOn w:val="100"/>
    <w:qFormat/>
    <w:uiPriority w:val="0"/>
    <w:pPr>
      <w:ind w:left="947" w:hanging="527"/>
    </w:pPr>
    <w:rPr>
      <w:rFonts w:ascii="楷体_GB2312"/>
    </w:rPr>
  </w:style>
  <w:style w:type="paragraph" w:customStyle="1" w:styleId="100">
    <w:name w:val="gcc-1.1"/>
    <w:basedOn w:val="101"/>
    <w:qFormat/>
    <w:uiPriority w:val="0"/>
    <w:pPr>
      <w:spacing w:line="400" w:lineRule="atLeast"/>
    </w:pPr>
    <w:rPr>
      <w:rFonts w:ascii="Times New Roman"/>
      <w:sz w:val="24"/>
    </w:rPr>
  </w:style>
  <w:style w:type="paragraph" w:customStyle="1" w:styleId="101">
    <w:name w:val="itb-1.1"/>
    <w:basedOn w:val="1"/>
    <w:qFormat/>
    <w:uiPriority w:val="0"/>
    <w:pPr>
      <w:ind w:left="945" w:hanging="525"/>
    </w:pPr>
    <w:rPr>
      <w:rFonts w:ascii="楷体_GB2312" w:hAnsi="Times New Roman" w:eastAsia="楷体_GB2312" w:cs="Times New Roman"/>
      <w:szCs w:val="20"/>
    </w:rPr>
  </w:style>
  <w:style w:type="character" w:customStyle="1" w:styleId="102">
    <w:name w:val="正文文本 Char"/>
    <w:basedOn w:val="33"/>
    <w:link w:val="15"/>
    <w:qFormat/>
    <w:uiPriority w:val="0"/>
    <w:rPr>
      <w:rFonts w:ascii="Times New Roman" w:hAnsi="Times New Roman" w:eastAsia="宋体" w:cs="Times New Roman"/>
      <w:szCs w:val="20"/>
    </w:rPr>
  </w:style>
  <w:style w:type="character" w:customStyle="1" w:styleId="103">
    <w:name w:val="正文文本缩进 Char"/>
    <w:basedOn w:val="33"/>
    <w:link w:val="16"/>
    <w:qFormat/>
    <w:uiPriority w:val="0"/>
    <w:rPr>
      <w:rFonts w:ascii="Times New Roman" w:hAnsi="Times New Roman" w:eastAsia="宋体" w:cs="Times New Roman"/>
      <w:szCs w:val="20"/>
    </w:rPr>
  </w:style>
  <w:style w:type="character" w:customStyle="1" w:styleId="104">
    <w:name w:val="副标题 Char"/>
    <w:basedOn w:val="33"/>
    <w:link w:val="24"/>
    <w:qFormat/>
    <w:uiPriority w:val="0"/>
    <w:rPr>
      <w:rFonts w:ascii="Arial" w:hAnsi="Arial" w:eastAsia="宋体" w:cs="Arial"/>
      <w:b/>
      <w:bCs/>
      <w:kern w:val="28"/>
      <w:sz w:val="32"/>
      <w:szCs w:val="32"/>
    </w:rPr>
  </w:style>
  <w:style w:type="character" w:customStyle="1" w:styleId="105">
    <w:name w:val="正文文本 2 Char"/>
    <w:basedOn w:val="33"/>
    <w:link w:val="27"/>
    <w:qFormat/>
    <w:uiPriority w:val="0"/>
    <w:rPr>
      <w:rFonts w:ascii="楷体_GB2312" w:hAnsi="Times New Roman" w:eastAsia="楷体_GB2312" w:cs="Times New Roman"/>
      <w:b/>
      <w:sz w:val="72"/>
      <w:szCs w:val="20"/>
    </w:rPr>
  </w:style>
  <w:style w:type="paragraph" w:customStyle="1" w:styleId="106">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07">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08">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09">
    <w:name w:val="正文文本缩进 2 Char"/>
    <w:basedOn w:val="33"/>
    <w:link w:val="20"/>
    <w:qFormat/>
    <w:uiPriority w:val="0"/>
    <w:rPr>
      <w:rFonts w:ascii="华文仿宋" w:hAnsi="华文仿宋" w:eastAsia="华文仿宋" w:cs="Times New Roman"/>
      <w:sz w:val="32"/>
      <w:szCs w:val="20"/>
    </w:rPr>
  </w:style>
  <w:style w:type="character" w:customStyle="1" w:styleId="110">
    <w:name w:val="批注框文本 Char"/>
    <w:basedOn w:val="33"/>
    <w:link w:val="21"/>
    <w:semiHidden/>
    <w:qFormat/>
    <w:uiPriority w:val="0"/>
    <w:rPr>
      <w:rFonts w:ascii="Times New Roman" w:hAnsi="Times New Roman" w:eastAsia="宋体" w:cs="Times New Roman"/>
      <w:sz w:val="18"/>
      <w:szCs w:val="18"/>
    </w:rPr>
  </w:style>
  <w:style w:type="character" w:customStyle="1" w:styleId="111">
    <w:name w:val="正文文本缩进 3 Char"/>
    <w:basedOn w:val="33"/>
    <w:link w:val="26"/>
    <w:qFormat/>
    <w:uiPriority w:val="0"/>
    <w:rPr>
      <w:rFonts w:ascii="华文仿宋" w:hAnsi="华文仿宋" w:eastAsia="华文仿宋" w:cs="Times New Roman"/>
      <w:sz w:val="24"/>
      <w:szCs w:val="20"/>
    </w:rPr>
  </w:style>
  <w:style w:type="paragraph" w:customStyle="1" w:styleId="112">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3">
    <w:name w:val="Char Char"/>
    <w:qFormat/>
    <w:uiPriority w:val="0"/>
    <w:rPr>
      <w:rFonts w:ascii="宋体" w:eastAsia="宋体"/>
      <w:b/>
      <w:kern w:val="2"/>
      <w:sz w:val="36"/>
      <w:lang w:val="en-US" w:eastAsia="zh-CN" w:bidi="ar-SA"/>
    </w:rPr>
  </w:style>
  <w:style w:type="character" w:customStyle="1" w:styleId="114">
    <w:name w:val="Char Char1"/>
    <w:qFormat/>
    <w:uiPriority w:val="0"/>
    <w:rPr>
      <w:rFonts w:eastAsia="宋体"/>
      <w:kern w:val="2"/>
      <w:sz w:val="18"/>
      <w:lang w:val="en-US" w:eastAsia="zh-CN" w:bidi="ar-SA"/>
    </w:rPr>
  </w:style>
  <w:style w:type="character" w:customStyle="1" w:styleId="115">
    <w:name w:val="Char Char7"/>
    <w:qFormat/>
    <w:uiPriority w:val="0"/>
    <w:rPr>
      <w:rFonts w:ascii="Arial" w:hAnsi="Arial" w:eastAsia="黑体"/>
      <w:b/>
      <w:bCs/>
      <w:kern w:val="2"/>
      <w:sz w:val="28"/>
      <w:szCs w:val="28"/>
      <w:lang w:val="en-US" w:eastAsia="zh-CN" w:bidi="ar-SA"/>
    </w:rPr>
  </w:style>
  <w:style w:type="character" w:customStyle="1" w:styleId="116">
    <w:name w:val="Char Char6"/>
    <w:qFormat/>
    <w:uiPriority w:val="0"/>
    <w:rPr>
      <w:rFonts w:eastAsia="宋体"/>
      <w:b/>
      <w:bCs/>
      <w:kern w:val="2"/>
      <w:sz w:val="28"/>
      <w:szCs w:val="28"/>
      <w:lang w:val="en-US" w:eastAsia="zh-CN" w:bidi="ar-SA"/>
    </w:rPr>
  </w:style>
  <w:style w:type="character" w:customStyle="1" w:styleId="117">
    <w:name w:val="Char Char5"/>
    <w:qFormat/>
    <w:uiPriority w:val="0"/>
    <w:rPr>
      <w:rFonts w:ascii="Arial" w:hAnsi="Arial" w:eastAsia="黑体"/>
      <w:b/>
      <w:bCs/>
      <w:kern w:val="2"/>
      <w:sz w:val="24"/>
      <w:szCs w:val="24"/>
      <w:lang w:val="en-US" w:eastAsia="zh-CN" w:bidi="ar-SA"/>
    </w:rPr>
  </w:style>
  <w:style w:type="character" w:customStyle="1" w:styleId="118">
    <w:name w:val="Char Char4"/>
    <w:qFormat/>
    <w:uiPriority w:val="0"/>
    <w:rPr>
      <w:rFonts w:eastAsia="宋体"/>
      <w:b/>
      <w:bCs/>
      <w:kern w:val="2"/>
      <w:sz w:val="24"/>
      <w:szCs w:val="24"/>
      <w:lang w:val="en-US" w:eastAsia="zh-CN" w:bidi="ar-SA"/>
    </w:rPr>
  </w:style>
  <w:style w:type="character" w:customStyle="1" w:styleId="119">
    <w:name w:val="Char Char3"/>
    <w:qFormat/>
    <w:uiPriority w:val="0"/>
    <w:rPr>
      <w:rFonts w:ascii="Arial" w:hAnsi="Arial" w:eastAsia="黑体"/>
      <w:kern w:val="2"/>
      <w:sz w:val="24"/>
      <w:szCs w:val="24"/>
      <w:lang w:val="en-US" w:eastAsia="zh-CN" w:bidi="ar-SA"/>
    </w:rPr>
  </w:style>
  <w:style w:type="character" w:customStyle="1" w:styleId="120">
    <w:name w:val="Char Char2"/>
    <w:qFormat/>
    <w:uiPriority w:val="0"/>
    <w:rPr>
      <w:rFonts w:ascii="Arial" w:hAnsi="Arial" w:eastAsia="黑体"/>
      <w:kern w:val="2"/>
      <w:sz w:val="21"/>
      <w:szCs w:val="21"/>
      <w:lang w:val="en-US" w:eastAsia="zh-CN" w:bidi="ar-SA"/>
    </w:rPr>
  </w:style>
  <w:style w:type="paragraph" w:customStyle="1" w:styleId="121">
    <w:name w:val="样式1"/>
    <w:basedOn w:val="1"/>
    <w:qFormat/>
    <w:uiPriority w:val="0"/>
    <w:pPr>
      <w:spacing w:line="360" w:lineRule="auto"/>
    </w:pPr>
    <w:rPr>
      <w:rFonts w:ascii="宋体" w:hAnsi="宋体" w:eastAsia="宋体" w:cs="Times New Roman"/>
      <w:sz w:val="24"/>
      <w:szCs w:val="24"/>
    </w:rPr>
  </w:style>
  <w:style w:type="paragraph" w:customStyle="1" w:styleId="122">
    <w:name w:val="样式2"/>
    <w:basedOn w:val="1"/>
    <w:qFormat/>
    <w:uiPriority w:val="0"/>
    <w:pPr>
      <w:spacing w:line="360" w:lineRule="auto"/>
      <w:ind w:left="360"/>
    </w:pPr>
    <w:rPr>
      <w:rFonts w:ascii="宋体" w:hAnsi="宋体" w:eastAsia="宋体" w:cs="Times New Roman"/>
      <w:sz w:val="24"/>
      <w:szCs w:val="24"/>
    </w:rPr>
  </w:style>
  <w:style w:type="character" w:customStyle="1" w:styleId="123">
    <w:name w:val="样式2 Char"/>
    <w:qFormat/>
    <w:uiPriority w:val="0"/>
    <w:rPr>
      <w:rFonts w:ascii="宋体" w:hAnsi="宋体" w:eastAsia="宋体"/>
      <w:kern w:val="2"/>
      <w:sz w:val="24"/>
      <w:szCs w:val="24"/>
      <w:lang w:val="en-US" w:eastAsia="zh-CN" w:bidi="ar-SA"/>
    </w:rPr>
  </w:style>
  <w:style w:type="character" w:customStyle="1" w:styleId="124">
    <w:name w:val="普通文字1 Char"/>
    <w:qFormat/>
    <w:uiPriority w:val="0"/>
    <w:rPr>
      <w:rFonts w:ascii="宋体" w:hAnsi="Courier New" w:eastAsia="宋体"/>
      <w:kern w:val="2"/>
      <w:sz w:val="21"/>
      <w:lang w:val="en-US" w:eastAsia="zh-CN" w:bidi="ar-SA"/>
    </w:rPr>
  </w:style>
  <w:style w:type="character" w:customStyle="1" w:styleId="125">
    <w:name w:val="批注文字 Char"/>
    <w:basedOn w:val="33"/>
    <w:link w:val="13"/>
    <w:semiHidden/>
    <w:qFormat/>
    <w:uiPriority w:val="0"/>
    <w:rPr>
      <w:rFonts w:ascii="Times New Roman" w:hAnsi="Times New Roman" w:eastAsia="宋体" w:cs="Times New Roman"/>
      <w:kern w:val="0"/>
      <w:sz w:val="24"/>
      <w:szCs w:val="20"/>
    </w:rPr>
  </w:style>
  <w:style w:type="paragraph" w:customStyle="1" w:styleId="126">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27">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28">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29">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0">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1">
    <w:name w:val="标4"/>
    <w:basedOn w:val="127"/>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2">
    <w:name w:val="标题 Char"/>
    <w:basedOn w:val="33"/>
    <w:link w:val="29"/>
    <w:qFormat/>
    <w:uiPriority w:val="0"/>
    <w:rPr>
      <w:rFonts w:ascii="Arial" w:hAnsi="Arial" w:eastAsia="黑体" w:cs="Times New Roman"/>
      <w:b/>
      <w:sz w:val="36"/>
      <w:szCs w:val="20"/>
    </w:rPr>
  </w:style>
  <w:style w:type="character" w:customStyle="1" w:styleId="133">
    <w:name w:val="正文文本 Char1"/>
    <w:qFormat/>
    <w:uiPriority w:val="0"/>
    <w:rPr>
      <w:kern w:val="2"/>
      <w:sz w:val="21"/>
      <w:szCs w:val="24"/>
    </w:rPr>
  </w:style>
  <w:style w:type="character" w:customStyle="1" w:styleId="134">
    <w:name w:val="Footer Char"/>
    <w:qFormat/>
    <w:uiPriority w:val="0"/>
    <w:rPr>
      <w:rFonts w:ascii="Times New Roman" w:hAnsi="Times New Roman" w:cs="Times New Roman"/>
      <w:sz w:val="18"/>
      <w:szCs w:val="18"/>
    </w:rPr>
  </w:style>
  <w:style w:type="paragraph" w:customStyle="1" w:styleId="135">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6">
    <w:name w:val="Body Text Indent Char"/>
    <w:qFormat/>
    <w:uiPriority w:val="0"/>
    <w:rPr>
      <w:rFonts w:ascii="Times New Roman" w:hAnsi="Times New Roman" w:eastAsia="宋体" w:cs="Times New Roman"/>
      <w:sz w:val="24"/>
      <w:szCs w:val="24"/>
    </w:rPr>
  </w:style>
  <w:style w:type="character" w:customStyle="1" w:styleId="137">
    <w:name w:val="Heading 1 Char"/>
    <w:qFormat/>
    <w:uiPriority w:val="0"/>
    <w:rPr>
      <w:rFonts w:ascii="Times New Roman" w:hAnsi="Times New Roman" w:cs="Times New Roman"/>
      <w:b/>
      <w:bCs/>
      <w:kern w:val="44"/>
      <w:sz w:val="44"/>
      <w:szCs w:val="44"/>
    </w:rPr>
  </w:style>
  <w:style w:type="character" w:customStyle="1" w:styleId="138">
    <w:name w:val="Heading 2 Char"/>
    <w:qFormat/>
    <w:uiPriority w:val="0"/>
    <w:rPr>
      <w:rFonts w:ascii="Cambria" w:hAnsi="Cambria" w:eastAsia="宋体" w:cs="Cambria"/>
      <w:b/>
      <w:bCs/>
      <w:sz w:val="32"/>
      <w:szCs w:val="32"/>
    </w:rPr>
  </w:style>
  <w:style w:type="character" w:customStyle="1" w:styleId="139">
    <w:name w:val="Heading 3 Char"/>
    <w:qFormat/>
    <w:uiPriority w:val="0"/>
    <w:rPr>
      <w:rFonts w:ascii="Times New Roman" w:hAnsi="Times New Roman" w:cs="Times New Roman"/>
      <w:b/>
      <w:bCs/>
      <w:sz w:val="32"/>
      <w:szCs w:val="32"/>
    </w:rPr>
  </w:style>
  <w:style w:type="character" w:customStyle="1" w:styleId="140">
    <w:name w:val="Heading 4 Char"/>
    <w:qFormat/>
    <w:uiPriority w:val="0"/>
    <w:rPr>
      <w:rFonts w:ascii="Cambria" w:hAnsi="Cambria" w:eastAsia="宋体" w:cs="Cambria"/>
      <w:b/>
      <w:bCs/>
      <w:sz w:val="28"/>
      <w:szCs w:val="28"/>
    </w:rPr>
  </w:style>
  <w:style w:type="character" w:customStyle="1" w:styleId="141">
    <w:name w:val="Heading 5 Char"/>
    <w:qFormat/>
    <w:uiPriority w:val="0"/>
    <w:rPr>
      <w:rFonts w:ascii="Times New Roman" w:hAnsi="Times New Roman" w:cs="Times New Roman"/>
      <w:b/>
      <w:bCs/>
      <w:sz w:val="28"/>
      <w:szCs w:val="28"/>
    </w:rPr>
  </w:style>
  <w:style w:type="character" w:customStyle="1" w:styleId="142">
    <w:name w:val="Heading 6 Char"/>
    <w:qFormat/>
    <w:uiPriority w:val="0"/>
    <w:rPr>
      <w:rFonts w:ascii="Cambria" w:hAnsi="Cambria" w:eastAsia="宋体" w:cs="Cambria"/>
      <w:b/>
      <w:bCs/>
      <w:sz w:val="24"/>
      <w:szCs w:val="24"/>
    </w:rPr>
  </w:style>
  <w:style w:type="character" w:customStyle="1" w:styleId="143">
    <w:name w:val="Heading 7 Char"/>
    <w:qFormat/>
    <w:uiPriority w:val="0"/>
    <w:rPr>
      <w:rFonts w:ascii="Times New Roman" w:hAnsi="Times New Roman" w:cs="Times New Roman"/>
      <w:b/>
      <w:bCs/>
      <w:sz w:val="24"/>
      <w:szCs w:val="24"/>
    </w:rPr>
  </w:style>
  <w:style w:type="character" w:customStyle="1" w:styleId="144">
    <w:name w:val="Heading 8 Char"/>
    <w:qFormat/>
    <w:uiPriority w:val="0"/>
    <w:rPr>
      <w:rFonts w:ascii="Cambria" w:hAnsi="Cambria" w:eastAsia="宋体" w:cs="Cambria"/>
      <w:sz w:val="24"/>
      <w:szCs w:val="24"/>
    </w:rPr>
  </w:style>
  <w:style w:type="character" w:customStyle="1" w:styleId="145">
    <w:name w:val="Heading 9 Char"/>
    <w:qFormat/>
    <w:uiPriority w:val="0"/>
    <w:rPr>
      <w:rFonts w:ascii="Cambria" w:hAnsi="Cambria" w:eastAsia="宋体" w:cs="Cambria"/>
      <w:sz w:val="21"/>
      <w:szCs w:val="21"/>
    </w:rPr>
  </w:style>
  <w:style w:type="character" w:customStyle="1" w:styleId="146">
    <w:name w:val="Body Text Char"/>
    <w:qFormat/>
    <w:uiPriority w:val="0"/>
    <w:rPr>
      <w:rFonts w:ascii="Times New Roman" w:hAnsi="Times New Roman" w:cs="Times New Roman"/>
      <w:sz w:val="24"/>
      <w:szCs w:val="24"/>
    </w:rPr>
  </w:style>
  <w:style w:type="character" w:customStyle="1" w:styleId="147">
    <w:name w:val="Body Text 2 Char"/>
    <w:qFormat/>
    <w:uiPriority w:val="0"/>
    <w:rPr>
      <w:rFonts w:ascii="Times New Roman" w:hAnsi="Times New Roman" w:cs="Times New Roman"/>
      <w:sz w:val="24"/>
      <w:szCs w:val="24"/>
    </w:rPr>
  </w:style>
  <w:style w:type="character" w:customStyle="1" w:styleId="148">
    <w:name w:val="Body Text 3 Char"/>
    <w:qFormat/>
    <w:uiPriority w:val="0"/>
    <w:rPr>
      <w:rFonts w:ascii="Times New Roman" w:hAnsi="Times New Roman" w:cs="Times New Roman"/>
      <w:sz w:val="16"/>
      <w:szCs w:val="16"/>
    </w:rPr>
  </w:style>
  <w:style w:type="character" w:customStyle="1" w:styleId="149">
    <w:name w:val="Title Char"/>
    <w:qFormat/>
    <w:uiPriority w:val="0"/>
    <w:rPr>
      <w:rFonts w:ascii="Cambria" w:hAnsi="Cambria" w:cs="Cambria"/>
      <w:b/>
      <w:bCs/>
      <w:sz w:val="32"/>
      <w:szCs w:val="32"/>
    </w:rPr>
  </w:style>
  <w:style w:type="character" w:customStyle="1" w:styleId="150">
    <w:name w:val="Subtitle Char"/>
    <w:qFormat/>
    <w:uiPriority w:val="0"/>
    <w:rPr>
      <w:rFonts w:ascii="Cambria" w:hAnsi="Cambria" w:cs="Cambria"/>
      <w:b/>
      <w:bCs/>
      <w:kern w:val="28"/>
      <w:sz w:val="32"/>
      <w:szCs w:val="32"/>
    </w:rPr>
  </w:style>
  <w:style w:type="character" w:customStyle="1" w:styleId="151">
    <w:name w:val="Plain Text Char"/>
    <w:qFormat/>
    <w:uiPriority w:val="0"/>
    <w:rPr>
      <w:rFonts w:ascii="宋体" w:eastAsia="宋体" w:cs="宋体"/>
      <w:sz w:val="21"/>
      <w:szCs w:val="21"/>
    </w:rPr>
  </w:style>
  <w:style w:type="character" w:customStyle="1" w:styleId="152">
    <w:name w:val="Body Text Indent 2 Char"/>
    <w:qFormat/>
    <w:uiPriority w:val="0"/>
    <w:rPr>
      <w:rFonts w:ascii="Times New Roman" w:hAnsi="Times New Roman" w:cs="Times New Roman"/>
      <w:sz w:val="24"/>
      <w:szCs w:val="24"/>
    </w:rPr>
  </w:style>
  <w:style w:type="character" w:customStyle="1" w:styleId="153">
    <w:name w:val="Body Text Indent 3 Char"/>
    <w:qFormat/>
    <w:uiPriority w:val="0"/>
    <w:rPr>
      <w:rFonts w:ascii="Times New Roman" w:hAnsi="Times New Roman" w:cs="Times New Roman"/>
      <w:sz w:val="16"/>
      <w:szCs w:val="16"/>
    </w:rPr>
  </w:style>
  <w:style w:type="character" w:customStyle="1" w:styleId="154">
    <w:name w:val="Header Char"/>
    <w:qFormat/>
    <w:uiPriority w:val="0"/>
    <w:rPr>
      <w:rFonts w:ascii="Times New Roman" w:hAnsi="Times New Roman" w:cs="Times New Roman"/>
      <w:sz w:val="18"/>
      <w:szCs w:val="18"/>
    </w:rPr>
  </w:style>
  <w:style w:type="character" w:customStyle="1" w:styleId="155">
    <w:name w:val="Date Char"/>
    <w:qFormat/>
    <w:uiPriority w:val="0"/>
    <w:rPr>
      <w:rFonts w:ascii="Times New Roman" w:hAnsi="Times New Roman" w:cs="Times New Roman"/>
      <w:sz w:val="24"/>
      <w:szCs w:val="24"/>
    </w:rPr>
  </w:style>
  <w:style w:type="character" w:customStyle="1" w:styleId="156">
    <w:name w:val="Balloon Text Char"/>
    <w:qFormat/>
    <w:uiPriority w:val="0"/>
    <w:rPr>
      <w:rFonts w:ascii="Times New Roman" w:hAnsi="Times New Roman" w:cs="Times New Roman"/>
      <w:sz w:val="2"/>
      <w:szCs w:val="2"/>
    </w:rPr>
  </w:style>
  <w:style w:type="paragraph" w:customStyle="1" w:styleId="157">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58">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59">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0">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1">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2">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3">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4">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5">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6">
    <w:name w:val="单位名称"/>
    <w:basedOn w:val="15"/>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67">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68">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69">
    <w:name w:val="H-TextFormat"/>
    <w:qFormat/>
    <w:uiPriority w:val="0"/>
    <w:pPr>
      <w:jc w:val="center"/>
    </w:pPr>
    <w:rPr>
      <w:rFonts w:ascii="Arial" w:hAnsi="Arial" w:eastAsia="宋体" w:cs="Arial"/>
      <w:sz w:val="22"/>
      <w:szCs w:val="22"/>
      <w:lang w:val="en-US" w:eastAsia="zh-CN" w:bidi="ar-SA"/>
    </w:rPr>
  </w:style>
  <w:style w:type="paragraph" w:customStyle="1" w:styleId="170">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1">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3">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4">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5">
    <w:name w:val="正文文本 3 Char"/>
    <w:basedOn w:val="33"/>
    <w:link w:val="14"/>
    <w:qFormat/>
    <w:uiPriority w:val="0"/>
    <w:rPr>
      <w:rFonts w:ascii="Times New Roman" w:hAnsi="Times New Roman" w:eastAsia="宋体" w:cs="Times New Roman"/>
      <w:sz w:val="48"/>
      <w:szCs w:val="48"/>
    </w:rPr>
  </w:style>
  <w:style w:type="character" w:customStyle="1" w:styleId="176">
    <w:name w:val="批注主题 Char"/>
    <w:basedOn w:val="125"/>
    <w:link w:val="30"/>
    <w:qFormat/>
    <w:uiPriority w:val="0"/>
    <w:rPr>
      <w:rFonts w:ascii="Times New Roman" w:hAnsi="Times New Roman" w:eastAsia="宋体" w:cs="Times New Roman"/>
      <w:b/>
      <w:bCs/>
      <w:kern w:val="0"/>
      <w:sz w:val="24"/>
      <w:szCs w:val="24"/>
    </w:rPr>
  </w:style>
  <w:style w:type="paragraph" w:customStyle="1" w:styleId="177">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78">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79">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0">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3">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4">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7">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9">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0">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2">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3">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4">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5">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6">
    <w:name w:val="表格文字"/>
    <w:basedOn w:val="1"/>
    <w:qFormat/>
    <w:uiPriority w:val="0"/>
    <w:pPr>
      <w:snapToGrid w:val="0"/>
      <w:spacing w:before="120"/>
    </w:pPr>
    <w:rPr>
      <w:rFonts w:ascii="Times New Roman" w:hAnsi="Times New Roman" w:eastAsia="宋体" w:cs="Times New Roman"/>
      <w:szCs w:val="21"/>
    </w:rPr>
  </w:style>
  <w:style w:type="paragraph" w:customStyle="1" w:styleId="197">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8">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199">
    <w:name w:val="页脚 Char"/>
    <w:qFormat/>
    <w:uiPriority w:val="99"/>
    <w:rPr>
      <w:kern w:val="2"/>
      <w:sz w:val="18"/>
    </w:rPr>
  </w:style>
  <w:style w:type="character" w:customStyle="1" w:styleId="200">
    <w:name w:val="页眉 Char"/>
    <w:qFormat/>
    <w:uiPriority w:val="99"/>
    <w:rPr>
      <w:kern w:val="2"/>
      <w:sz w:val="18"/>
    </w:rPr>
  </w:style>
  <w:style w:type="character" w:customStyle="1" w:styleId="201">
    <w:name w:val="文档结构图 字符"/>
    <w:basedOn w:val="33"/>
    <w:semiHidden/>
    <w:qFormat/>
    <w:uiPriority w:val="99"/>
    <w:rPr>
      <w:rFonts w:ascii="Microsoft YaHei UI" w:eastAsia="Microsoft YaHei UI"/>
      <w:sz w:val="18"/>
      <w:szCs w:val="18"/>
    </w:rPr>
  </w:style>
  <w:style w:type="character" w:customStyle="1" w:styleId="202">
    <w:name w:val="文档结构图 Char"/>
    <w:link w:val="12"/>
    <w:qFormat/>
    <w:uiPriority w:val="0"/>
    <w:rPr>
      <w:rFonts w:ascii="宋体" w:hAnsi="Times New Roman" w:eastAsia="宋体" w:cs="Times New Roman"/>
      <w:sz w:val="18"/>
      <w:szCs w:val="18"/>
    </w:rPr>
  </w:style>
  <w:style w:type="character" w:customStyle="1" w:styleId="203">
    <w:name w:val="HTML 预设格式 字符"/>
    <w:basedOn w:val="33"/>
    <w:semiHidden/>
    <w:qFormat/>
    <w:uiPriority w:val="99"/>
    <w:rPr>
      <w:rFonts w:ascii="Courier New" w:hAnsi="Courier New" w:cs="Courier New"/>
      <w:sz w:val="20"/>
      <w:szCs w:val="20"/>
    </w:rPr>
  </w:style>
  <w:style w:type="character" w:customStyle="1" w:styleId="204">
    <w:name w:val="HTML 预设格式 Char"/>
    <w:link w:val="28"/>
    <w:qFormat/>
    <w:uiPriority w:val="99"/>
    <w:rPr>
      <w:rFonts w:ascii="宋体" w:hAnsi="宋体" w:eastAsia="宋体" w:cs="Times New Roman"/>
      <w:kern w:val="0"/>
      <w:sz w:val="24"/>
      <w:szCs w:val="24"/>
    </w:rPr>
  </w:style>
  <w:style w:type="paragraph" w:customStyle="1" w:styleId="205">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6">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7">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08">
    <w:name w:val="_Style 206"/>
    <w:basedOn w:val="1"/>
    <w:next w:val="54"/>
    <w:qFormat/>
    <w:uiPriority w:val="34"/>
    <w:pPr>
      <w:ind w:firstLine="420" w:firstLineChars="200"/>
    </w:pPr>
    <w:rPr>
      <w:rFonts w:ascii="Times New Roman" w:hAnsi="Times New Roman" w:eastAsia="宋体" w:cs="Times New Roman"/>
      <w:szCs w:val="24"/>
    </w:rPr>
  </w:style>
  <w:style w:type="character" w:customStyle="1" w:styleId="209">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7580</Words>
  <Characters>8425</Characters>
  <Lines>12</Lines>
  <Paragraphs>17</Paragraphs>
  <TotalTime>1</TotalTime>
  <ScaleCrop>false</ScaleCrop>
  <LinksUpToDate>false</LinksUpToDate>
  <CharactersWithSpaces>8557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Ｓòβαdゞ</cp:lastModifiedBy>
  <dcterms:modified xsi:type="dcterms:W3CDTF">2023-12-12T05:51:34Z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F52D24A478984F87A5CFA8D6073A2D72_13</vt:lpwstr>
  </property>
</Properties>
</file>