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华文宋体" w:hAnsi="华文宋体" w:eastAsia="华文宋体" w:cs="宋体"/>
          <w:b/>
          <w:kern w:val="0"/>
          <w:sz w:val="72"/>
          <w:szCs w:val="72"/>
        </w:rPr>
      </w:pPr>
      <w:bookmarkStart w:id="0" w:name="_Toc209852933"/>
      <w:bookmarkStart w:id="1" w:name="_Toc9066358"/>
      <w:r>
        <w:rPr>
          <w:rFonts w:hint="eastAsia" w:ascii="宋体" w:hAnsi="宋体" w:eastAsia="宋体" w:cs="宋体"/>
          <w:b/>
          <w:kern w:val="0"/>
          <w:sz w:val="72"/>
          <w:szCs w:val="72"/>
        </w:rPr>
        <w:t xml:space="preserve"> </w:t>
      </w:r>
      <w:r>
        <w:rPr>
          <w:rFonts w:hint="eastAsia" w:ascii="华文宋体" w:hAnsi="华文宋体" w:eastAsia="华文宋体" w:cs="华文宋体"/>
          <w:b/>
          <w:sz w:val="72"/>
          <w:szCs w:val="72"/>
        </w:rPr>
        <w:t>空气压缩机</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 xml:space="preserve"> 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2</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5</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19</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1"/>
      <w:bookmarkEnd w:id="2"/>
    </w:p>
    <w:p>
      <w:pPr>
        <w:spacing w:line="360" w:lineRule="auto"/>
        <w:ind w:left="425" w:hanging="424" w:hangingChars="177"/>
        <w:rPr>
          <w:rFonts w:ascii="宋体" w:hAnsi="宋体" w:eastAsia="宋体" w:cs="Times New Roman"/>
          <w:sz w:val="24"/>
          <w:szCs w:val="24"/>
        </w:rPr>
      </w:pPr>
      <w:bookmarkStart w:id="3" w:name="_Toc461613077"/>
      <w:bookmarkStart w:id="4" w:name="_Toc461613005"/>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（1）</w:t>
      </w:r>
      <w:r>
        <w:rPr>
          <w:rFonts w:hint="eastAsia" w:ascii="宋体" w:hAnsi="宋体" w:eastAsia="宋体" w:cs="宋体"/>
          <w:kern w:val="0"/>
          <w:sz w:val="24"/>
          <w:szCs w:val="24"/>
        </w:rPr>
        <w:t>设备名称及数量：</w:t>
      </w:r>
    </w:p>
    <w:bookmarkEnd w:id="3"/>
    <w:bookmarkEnd w:id="4"/>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color w:val="000000" w:themeColor="text1"/>
          <w:sz w:val="24"/>
          <w:szCs w:val="24"/>
        </w:rPr>
        <w:t>空气压缩机</w:t>
      </w:r>
      <w:r>
        <w:rPr>
          <w:rFonts w:hint="eastAsia" w:ascii="宋体" w:hAnsi="宋体" w:eastAsia="宋体" w:cs="宋体"/>
          <w:kern w:val="0"/>
          <w:sz w:val="24"/>
          <w:szCs w:val="24"/>
        </w:rPr>
        <w:t>/壹套</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（2）技术要求：见本招标文件第四章“货物需求一览表及技术规格”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5" w:name="_Toc461613012"/>
      <w:bookmarkStart w:id="6" w:name="_Toc461613084"/>
      <w:r>
        <w:rPr>
          <w:rFonts w:ascii="宋体" w:hAnsi="宋体" w:eastAsia="宋体" w:cs="Times New Roman"/>
          <w:sz w:val="24"/>
          <w:szCs w:val="24"/>
        </w:rPr>
        <w:t>2</w:t>
      </w:r>
      <w:r>
        <w:rPr>
          <w:rFonts w:hint="eastAsia" w:ascii="宋体" w:hAnsi="宋体" w:eastAsia="宋体" w:cs="Times New Roman"/>
          <w:sz w:val="24"/>
          <w:szCs w:val="24"/>
        </w:rPr>
        <w:t>、有兴趣的合格潜在投标人请于</w:t>
      </w:r>
      <w:r>
        <w:rPr>
          <w:rFonts w:hint="eastAsia" w:ascii="宋体" w:hAnsi="宋体" w:eastAsia="宋体" w:cs="Times New Roman"/>
          <w:sz w:val="24"/>
          <w:szCs w:val="24"/>
          <w:highlight w:val="none"/>
        </w:rPr>
        <w:t>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19</w:t>
      </w:r>
      <w:r>
        <w:rPr>
          <w:rFonts w:hint="eastAsia" w:ascii="宋体" w:hAnsi="宋体" w:eastAsia="宋体" w:cs="Times New Roman"/>
          <w:sz w:val="24"/>
          <w:szCs w:val="24"/>
          <w:highlight w:val="none"/>
        </w:rPr>
        <w:t>日起至2022年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25</w:t>
      </w:r>
      <w:r>
        <w:rPr>
          <w:rFonts w:hint="eastAsia" w:ascii="宋体" w:hAnsi="宋体" w:eastAsia="宋体" w:cs="Times New Roman"/>
          <w:sz w:val="24"/>
          <w:szCs w:val="24"/>
          <w:highlight w:val="none"/>
        </w:rPr>
        <w:t>日止（星期六、日和节假日除外）来医院采购中心报名</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疫情封控期可采用线上或电话等形式报名</w:t>
      </w:r>
      <w:r>
        <w:rPr>
          <w:rFonts w:hint="eastAsia" w:ascii="宋体" w:hAnsi="宋体" w:eastAsia="宋体" w:cs="Times New Roman"/>
          <w:sz w:val="24"/>
          <w:szCs w:val="24"/>
          <w:lang w:eastAsia="zh-CN"/>
        </w:rPr>
        <w:t>）</w:t>
      </w:r>
      <w:r>
        <w:rPr>
          <w:rFonts w:hint="eastAsia" w:ascii="宋体" w:hAnsi="宋体" w:eastAsia="宋体" w:cs="Times New Roman"/>
          <w:sz w:val="24"/>
          <w:szCs w:val="24"/>
          <w:highlight w:val="none"/>
        </w:rPr>
        <w:t>。</w:t>
      </w:r>
    </w:p>
    <w:p>
      <w:pPr>
        <w:autoSpaceDE w:val="0"/>
        <w:autoSpaceDN w:val="0"/>
        <w:spacing w:line="360" w:lineRule="auto"/>
        <w:ind w:left="426"/>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w:t>
      </w:r>
      <w:r>
        <w:rPr>
          <w:rFonts w:ascii="宋体" w:hAnsi="宋体" w:eastAsia="宋体" w:cs="宋体"/>
          <w:b/>
          <w:kern w:val="0"/>
          <w:sz w:val="24"/>
          <w:szCs w:val="24"/>
          <w:highlight w:val="none"/>
        </w:rPr>
        <w:t>1</w:t>
      </w:r>
      <w:r>
        <w:rPr>
          <w:rFonts w:hint="eastAsia" w:ascii="宋体" w:hAnsi="宋体" w:eastAsia="宋体" w:cs="宋体"/>
          <w:b/>
          <w:kern w:val="0"/>
          <w:sz w:val="24"/>
          <w:szCs w:val="24"/>
          <w:highlight w:val="none"/>
        </w:rPr>
        <w:t>）现场领取招标文件：</w:t>
      </w:r>
    </w:p>
    <w:p>
      <w:pPr>
        <w:autoSpaceDE w:val="0"/>
        <w:autoSpaceDN w:val="0"/>
        <w:spacing w:line="360" w:lineRule="auto"/>
        <w:ind w:left="426"/>
        <w:rPr>
          <w:rFonts w:ascii="宋体" w:hAnsi="宋体" w:eastAsia="宋体" w:cs="宋体"/>
          <w:kern w:val="0"/>
          <w:sz w:val="24"/>
          <w:szCs w:val="24"/>
          <w:highlight w:val="none"/>
        </w:rPr>
      </w:pPr>
      <w:r>
        <w:rPr>
          <w:rFonts w:hint="eastAsia" w:ascii="宋体" w:hAnsi="宋体" w:eastAsia="宋体" w:cs="宋体"/>
          <w:kern w:val="0"/>
          <w:sz w:val="24"/>
          <w:szCs w:val="24"/>
          <w:highlight w:val="none"/>
        </w:rPr>
        <w:t>携带下列资料的复印件并加盖公章，至上海市中医院采购中心领取招标文件。</w:t>
      </w:r>
    </w:p>
    <w:p>
      <w:pPr>
        <w:autoSpaceDE w:val="0"/>
        <w:autoSpaceDN w:val="0"/>
        <w:spacing w:line="360" w:lineRule="auto"/>
        <w:ind w:left="426"/>
        <w:rPr>
          <w:rFonts w:ascii="宋体" w:hAnsi="宋体" w:eastAsia="宋体" w:cs="宋体"/>
          <w:kern w:val="0"/>
          <w:sz w:val="24"/>
          <w:szCs w:val="24"/>
          <w:highlight w:val="none"/>
        </w:rPr>
      </w:pPr>
      <w:r>
        <w:rPr>
          <w:rFonts w:hint="eastAsia" w:ascii="宋体" w:hAnsi="宋体" w:eastAsia="宋体" w:cs="宋体"/>
          <w:kern w:val="0"/>
          <w:sz w:val="24"/>
          <w:szCs w:val="24"/>
          <w:highlight w:val="none"/>
        </w:rPr>
        <w:t>1）营业执照（或事业单位、社会团体相关证书）复印件；</w:t>
      </w:r>
    </w:p>
    <w:p>
      <w:pPr>
        <w:autoSpaceDE w:val="0"/>
        <w:autoSpaceDN w:val="0"/>
        <w:spacing w:line="360" w:lineRule="auto"/>
        <w:ind w:left="426"/>
        <w:rPr>
          <w:rFonts w:ascii="宋体" w:hAnsi="宋体" w:eastAsia="宋体" w:cs="宋体"/>
          <w:kern w:val="0"/>
          <w:sz w:val="24"/>
          <w:szCs w:val="24"/>
          <w:highlight w:val="none"/>
        </w:rPr>
      </w:pPr>
      <w:r>
        <w:rPr>
          <w:rFonts w:hint="eastAsia" w:ascii="宋体" w:hAnsi="宋体" w:eastAsia="宋体" w:cs="宋体"/>
          <w:kern w:val="0"/>
          <w:sz w:val="24"/>
          <w:szCs w:val="24"/>
          <w:highlight w:val="none"/>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highlight w:val="none"/>
        </w:rPr>
      </w:pPr>
      <w:r>
        <w:rPr>
          <w:rFonts w:hint="eastAsia" w:ascii="宋体" w:hAnsi="宋体" w:eastAsia="宋体" w:cs="宋体"/>
          <w:kern w:val="0"/>
          <w:sz w:val="24"/>
          <w:szCs w:val="24"/>
          <w:highlight w:val="none"/>
        </w:rPr>
        <w:t>3）被授权代表身份证；</w:t>
      </w:r>
    </w:p>
    <w:p>
      <w:pPr>
        <w:autoSpaceDE w:val="0"/>
        <w:autoSpaceDN w:val="0"/>
        <w:spacing w:line="360" w:lineRule="auto"/>
        <w:ind w:left="426"/>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4）其他供应商认为需要提供的资料。</w:t>
      </w:r>
    </w:p>
    <w:p>
      <w:pPr>
        <w:autoSpaceDE w:val="0"/>
        <w:autoSpaceDN w:val="0"/>
        <w:spacing w:line="360" w:lineRule="auto"/>
        <w:ind w:left="426"/>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Times New Roman"/>
          <w:sz w:val="24"/>
          <w:szCs w:val="24"/>
          <w:lang w:val="en-US" w:eastAsia="zh-CN"/>
        </w:rPr>
        <w:t>疫情封控期</w:t>
      </w:r>
      <w:r>
        <w:rPr>
          <w:rFonts w:hint="eastAsia" w:ascii="宋体" w:hAnsi="宋体" w:eastAsia="宋体" w:cs="宋体"/>
          <w:kern w:val="0"/>
          <w:sz w:val="24"/>
          <w:szCs w:val="24"/>
          <w:lang w:val="en-US" w:eastAsia="zh-CN"/>
        </w:rPr>
        <w:t>可先提供PDF扫描电子版，待解封后补交纸质版，纸质版需与PDF版内容一致</w:t>
      </w:r>
      <w:r>
        <w:rPr>
          <w:rFonts w:hint="eastAsia" w:ascii="宋体" w:hAnsi="宋体" w:eastAsia="宋体" w:cs="宋体"/>
          <w:kern w:val="0"/>
          <w:sz w:val="24"/>
          <w:szCs w:val="24"/>
          <w:lang w:eastAsia="zh-CN"/>
        </w:rPr>
        <w:t>）</w:t>
      </w:r>
    </w:p>
    <w:p>
      <w:pPr>
        <w:spacing w:line="360" w:lineRule="auto"/>
        <w:ind w:left="425" w:hanging="424" w:hangingChars="177"/>
        <w:rPr>
          <w:rFonts w:ascii="宋体" w:hAnsi="宋体" w:eastAsia="宋体" w:cs="Times New Roman"/>
          <w:sz w:val="24"/>
          <w:szCs w:val="24"/>
          <w:highlight w:val="none"/>
        </w:rPr>
      </w:pPr>
      <w:r>
        <w:rPr>
          <w:rFonts w:ascii="宋体" w:hAnsi="宋体" w:eastAsia="宋体" w:cs="Times New Roman"/>
          <w:sz w:val="24"/>
          <w:szCs w:val="24"/>
          <w:highlight w:val="none"/>
        </w:rPr>
        <w:t>4</w:t>
      </w:r>
      <w:r>
        <w:rPr>
          <w:rFonts w:hint="eastAsia" w:ascii="宋体" w:hAnsi="宋体" w:eastAsia="宋体" w:cs="Times New Roman"/>
          <w:sz w:val="24"/>
          <w:szCs w:val="24"/>
          <w:highlight w:val="none"/>
        </w:rPr>
        <w:t>、定于2022年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27</w:t>
      </w:r>
      <w:r>
        <w:rPr>
          <w:rFonts w:hint="eastAsia" w:ascii="宋体" w:hAnsi="宋体" w:eastAsia="宋体" w:cs="Times New Roman"/>
          <w:sz w:val="24"/>
          <w:szCs w:val="24"/>
          <w:highlight w:val="none"/>
        </w:rPr>
        <w:t>日</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rPr>
        <w:t>1</w:t>
      </w:r>
      <w:r>
        <w:rPr>
          <w:rFonts w:ascii="宋体" w:hAnsi="宋体" w:eastAsia="宋体" w:cs="Times New Roman"/>
          <w:sz w:val="24"/>
          <w:szCs w:val="24"/>
          <w:highlight w:val="none"/>
        </w:rPr>
        <w:t>3:</w:t>
      </w:r>
      <w:r>
        <w:rPr>
          <w:rFonts w:hint="eastAsia" w:ascii="宋体" w:hAnsi="宋体" w:eastAsia="宋体" w:cs="Times New Roman"/>
          <w:sz w:val="24"/>
          <w:szCs w:val="24"/>
          <w:highlight w:val="none"/>
        </w:rPr>
        <w:t>0</w:t>
      </w:r>
      <w:r>
        <w:rPr>
          <w:rFonts w:ascii="宋体" w:hAnsi="宋体" w:eastAsia="宋体" w:cs="Times New Roman"/>
          <w:sz w:val="24"/>
          <w:szCs w:val="24"/>
          <w:highlight w:val="none"/>
        </w:rPr>
        <w:t>0</w:t>
      </w:r>
      <w:r>
        <w:rPr>
          <w:rFonts w:hint="eastAsia" w:ascii="宋体" w:hAnsi="宋体" w:eastAsia="宋体" w:cs="Times New Roman"/>
          <w:sz w:val="24"/>
          <w:szCs w:val="24"/>
          <w:highlight w:val="none"/>
        </w:rPr>
        <w:t>在</w:t>
      </w:r>
      <w:bookmarkEnd w:id="5"/>
      <w:bookmarkEnd w:id="6"/>
      <w:bookmarkStart w:id="7" w:name="_Toc461613085"/>
      <w:bookmarkStart w:id="8" w:name="_Toc461613013"/>
      <w:r>
        <w:rPr>
          <w:rFonts w:hint="eastAsia" w:ascii="宋体" w:hAnsi="宋体" w:eastAsia="宋体" w:cs="Times New Roman"/>
          <w:sz w:val="24"/>
          <w:szCs w:val="24"/>
          <w:highlight w:val="none"/>
        </w:rPr>
        <w:t>上海市中医医院采购中心进行院内</w:t>
      </w:r>
      <w:r>
        <w:rPr>
          <w:rFonts w:hint="eastAsia" w:ascii="宋体" w:hAnsi="宋体" w:eastAsia="宋体" w:cs="Times New Roman"/>
          <w:sz w:val="24"/>
          <w:szCs w:val="24"/>
          <w:highlight w:val="none"/>
          <w:lang w:val="en-US" w:eastAsia="zh-CN"/>
        </w:rPr>
        <w:t>评审</w:t>
      </w:r>
      <w:r>
        <w:rPr>
          <w:rFonts w:hint="eastAsia" w:ascii="宋体" w:hAnsi="宋体" w:eastAsia="宋体" w:cs="Times New Roman"/>
          <w:sz w:val="24"/>
          <w:szCs w:val="24"/>
          <w:highlight w:val="none"/>
        </w:rPr>
        <w:t>。</w:t>
      </w:r>
      <w:bookmarkEnd w:id="7"/>
      <w:bookmarkEnd w:id="8"/>
    </w:p>
    <w:p>
      <w:pPr>
        <w:autoSpaceDE w:val="0"/>
        <w:autoSpaceDN w:val="0"/>
        <w:spacing w:line="360" w:lineRule="auto"/>
        <w:ind w:left="426"/>
        <w:rPr>
          <w:rFonts w:ascii="宋体" w:hAnsi="宋体" w:eastAsia="宋体" w:cs="宋体"/>
          <w:kern w:val="0"/>
          <w:sz w:val="24"/>
          <w:szCs w:val="24"/>
          <w:highlight w:val="none"/>
        </w:rPr>
      </w:pPr>
      <w:bookmarkStart w:id="9" w:name="OLE_LINK16"/>
      <w:bookmarkStart w:id="10" w:name="OLE_LINK11"/>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bookmarkStart w:id="25" w:name="_GoBack"/>
      <w:bookmarkEnd w:id="25"/>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bookmarkEnd w:id="9"/>
    <w:bookmarkEnd w:id="10"/>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w:t>
      </w:r>
      <w:r>
        <w:rPr>
          <w:rFonts w:hint="eastAsia" w:ascii="宋体" w:hAnsi="宋体" w:eastAsia="宋体" w:cs="Times New Roman"/>
          <w:sz w:val="24"/>
          <w:szCs w:val="20"/>
        </w:rPr>
        <w:t>9310</w:t>
      </w:r>
    </w:p>
    <w:p>
      <w:pPr>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联系人：袁勋</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1" w:name="_Toc9066359"/>
      <w:bookmarkStart w:id="12" w:name="_Toc516880880"/>
      <w:bookmarkStart w:id="13"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1"/>
      <w:bookmarkEnd w:id="12"/>
      <w:bookmarkEnd w:id="13"/>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lightGray"/>
              </w:rPr>
            </w:pPr>
            <w:r>
              <w:rPr>
                <w:rFonts w:hint="eastAsia" w:ascii="宋体" w:hAnsi="宋体" w:eastAsia="宋体" w:cs="Times New Roman"/>
                <w:sz w:val="24"/>
                <w:szCs w:val="20"/>
              </w:rPr>
              <w:t>项目名称：</w:t>
            </w:r>
            <w:r>
              <w:rPr>
                <w:rFonts w:hint="eastAsia" w:ascii="宋体" w:hAnsi="宋体" w:eastAsia="宋体" w:cs="宋体"/>
                <w:kern w:val="0"/>
                <w:sz w:val="24"/>
                <w:szCs w:val="24"/>
              </w:rPr>
              <w:t>空气压缩机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lightGray"/>
              </w:rPr>
            </w:pPr>
            <w:r>
              <w:rPr>
                <w:rFonts w:hint="eastAsia" w:ascii="宋体" w:hAnsi="宋体" w:eastAsia="宋体" w:cs="Times New Roman"/>
                <w:sz w:val="24"/>
                <w:szCs w:val="20"/>
              </w:rPr>
              <w:t>合同名称：空气压缩机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投标人应当于招标文件载明的投标截止时间前在中国国际招标网（网址：http://www.chinabidding.com）成功注册或年检。否则，投标人将不能进入招标程序，由此产生的后果由其自行承担。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潜在投标人对招标文件有异议的应当在投标截止时间10日前向医院提出，逾期递交的概不接受。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（8）投标人开户银行在开标日前三个月内开具的资信证明原件或该原件的复印件；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（11）</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lang w:val="en-US" w:eastAsia="zh-CN"/>
              </w:rPr>
              <w:t>评审</w:t>
            </w:r>
            <w:r>
              <w:rPr>
                <w:rFonts w:hint="eastAsia" w:ascii="宋体" w:hAnsi="宋体" w:eastAsia="宋体" w:cs="Times New Roman"/>
                <w:sz w:val="24"/>
                <w:szCs w:val="20"/>
              </w:rPr>
              <w:t>日期</w:t>
            </w:r>
            <w:r>
              <w:rPr>
                <w:rFonts w:hint="eastAsia" w:ascii="宋体" w:hAnsi="宋体" w:eastAsia="宋体" w:cs="Times New Roman"/>
                <w:sz w:val="24"/>
                <w:szCs w:val="20"/>
                <w:highlight w:val="none"/>
              </w:rPr>
              <w:t>：2</w:t>
            </w:r>
            <w:r>
              <w:rPr>
                <w:rFonts w:hint="eastAsia" w:ascii="宋体" w:hAnsi="宋体" w:eastAsia="宋体" w:cs="Times New Roman"/>
                <w:sz w:val="24"/>
                <w:szCs w:val="20"/>
                <w:highlight w:val="none"/>
              </w:rPr>
              <w:t>022年</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27</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13：00。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w:t>
            </w:r>
            <w:r>
              <w:rPr>
                <w:rFonts w:hint="eastAsia" w:ascii="宋体" w:hAnsi="宋体" w:eastAsia="宋体" w:cs="Times New Roman"/>
                <w:sz w:val="24"/>
                <w:szCs w:val="20"/>
                <w:lang w:val="en-US" w:eastAsia="zh-CN"/>
              </w:rPr>
              <w:t>院</w:t>
            </w:r>
            <w:r>
              <w:rPr>
                <w:rFonts w:hint="eastAsia" w:ascii="宋体" w:hAnsi="宋体" w:eastAsia="宋体" w:cs="Times New Roman"/>
                <w:sz w:val="24"/>
                <w:szCs w:val="20"/>
              </w:rPr>
              <w:t>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4" w:name="_Toc11326094"/>
      <w:bookmarkStart w:id="15" w:name="_Toc9066360"/>
      <w:r>
        <w:rPr>
          <w:rFonts w:hint="eastAsia" w:ascii="宋体" w:hAnsi="宋体" w:eastAsia="宋体" w:cs="Times New Roman"/>
          <w:b/>
          <w:sz w:val="36"/>
          <w:szCs w:val="20"/>
        </w:rPr>
        <w:t>第三章 合同专用条款</w:t>
      </w:r>
      <w:bookmarkEnd w:id="14"/>
      <w:bookmarkEnd w:id="15"/>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56639</w:t>
            </w:r>
            <w:r>
              <w:rPr>
                <w:rFonts w:hint="eastAsia" w:ascii="宋体" w:hAnsi="宋体" w:eastAsia="宋体" w:cs="Times New Roman"/>
                <w:sz w:val="24"/>
                <w:szCs w:val="20"/>
              </w:rPr>
              <w:t>310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联系人：袁勋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（一）对从买方国外供应的货物，如果货物原产地非特定国家（地区），买方按如下方式付款给国外卖方：</w:t>
            </w:r>
          </w:p>
          <w:p>
            <w:pPr>
              <w:spacing w:line="360" w:lineRule="auto"/>
              <w:ind w:left="2067" w:leftChars="299" w:hanging="1440" w:hangingChars="600"/>
              <w:rPr>
                <w:rFonts w:ascii="宋体" w:hAnsi="宋体" w:eastAsia="宋体" w:cs="Times New Roman"/>
                <w:sz w:val="24"/>
                <w:szCs w:val="24"/>
              </w:rPr>
            </w:pPr>
            <w:bookmarkStart w:id="16" w:name="OLE_LINK156"/>
            <w:r>
              <w:rPr>
                <w:rFonts w:hint="eastAsia" w:ascii="宋体" w:hAnsi="宋体" w:eastAsia="宋体" w:cs="Times New Roman"/>
                <w:sz w:val="24"/>
                <w:szCs w:val="24"/>
              </w:rPr>
              <w:t>20.1.1</w:t>
            </w:r>
            <w:bookmarkEnd w:id="16"/>
            <w:r>
              <w:rPr>
                <w:rFonts w:hint="eastAsia" w:ascii="宋体" w:hAnsi="宋体" w:eastAsia="宋体" w:cs="Times New Roman"/>
                <w:sz w:val="24"/>
                <w:szCs w:val="24"/>
              </w:rPr>
              <w:t xml:space="preserve">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在合同规定的装运期前1个月，买方将通过买方银行开出以卖方为受益人的不可撤销即期信用证(样式见第四章)，信用证金额等于货物合同金额的</w:t>
            </w:r>
            <w:r>
              <w:rPr>
                <w:rFonts w:ascii="宋体" w:hAnsi="宋体" w:eastAsia="宋体" w:cs="Times New Roman"/>
                <w:sz w:val="24"/>
                <w:szCs w:val="24"/>
              </w:rPr>
              <w:t>9</w:t>
            </w:r>
            <w:r>
              <w:rPr>
                <w:rFonts w:hint="eastAsia" w:ascii="宋体" w:hAnsi="宋体" w:eastAsia="宋体" w:cs="Times New Roman"/>
                <w:sz w:val="24"/>
                <w:szCs w:val="24"/>
              </w:rPr>
              <w:t>0％，信用证有效期至合同规定最后一次交货后的第21天为止。每批发货金额的</w:t>
            </w:r>
            <w:r>
              <w:rPr>
                <w:rFonts w:ascii="宋体" w:hAnsi="宋体" w:eastAsia="宋体" w:cs="Times New Roman"/>
                <w:sz w:val="24"/>
                <w:szCs w:val="24"/>
              </w:rPr>
              <w:t>9</w:t>
            </w:r>
            <w:r>
              <w:rPr>
                <w:rFonts w:hint="eastAsia" w:ascii="宋体" w:hAnsi="宋体" w:eastAsia="宋体" w:cs="Times New Roman"/>
                <w:sz w:val="24"/>
                <w:szCs w:val="24"/>
              </w:rPr>
              <w:t>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w:t>
            </w:r>
            <w:r>
              <w:rPr>
                <w:rFonts w:ascii="宋体" w:hAnsi="宋体" w:eastAsia="宋体" w:cs="Times New Roman"/>
                <w:sz w:val="24"/>
                <w:szCs w:val="24"/>
              </w:rPr>
              <w:t>9</w:t>
            </w:r>
            <w:r>
              <w:rPr>
                <w:rFonts w:hint="eastAsia" w:ascii="宋体" w:hAnsi="宋体" w:eastAsia="宋体" w:cs="Times New Roman"/>
                <w:sz w:val="24"/>
                <w:szCs w:val="24"/>
              </w:rPr>
              <w:t>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leftChars="221" w:hanging="1428" w:hangingChars="595"/>
              <w:rPr>
                <w:rFonts w:ascii="宋体" w:hAnsi="宋体" w:eastAsia="宋体" w:cs="Times New Roman"/>
                <w:sz w:val="24"/>
                <w:szCs w:val="24"/>
              </w:rPr>
            </w:pPr>
            <w:bookmarkStart w:id="17" w:name="OLE_LINK157"/>
            <w:r>
              <w:rPr>
                <w:rFonts w:hint="eastAsia" w:ascii="宋体" w:hAnsi="宋体" w:eastAsia="宋体" w:cs="Times New Roman"/>
                <w:sz w:val="24"/>
                <w:szCs w:val="24"/>
              </w:rPr>
              <w:t xml:space="preserve">        </w:t>
            </w:r>
            <w:r>
              <w:rPr>
                <w:rFonts w:ascii="宋体" w:hAnsi="宋体" w:eastAsia="宋体" w:cs="Times New Roman"/>
                <w:sz w:val="24"/>
                <w:szCs w:val="24"/>
              </w:rPr>
              <w:t>(b)</w:t>
            </w:r>
            <w:bookmarkEnd w:id="17"/>
            <w:r>
              <w:rPr>
                <w:rFonts w:hint="eastAsia" w:ascii="宋体" w:hAnsi="宋体" w:eastAsia="宋体" w:cs="Times New Roman"/>
                <w:sz w:val="24"/>
                <w:szCs w:val="24"/>
              </w:rPr>
              <w:tab/>
            </w:r>
            <w:r>
              <w:rPr>
                <w:rFonts w:hint="eastAsia" w:ascii="宋体" w:hAnsi="宋体" w:eastAsia="宋体" w:cs="Times New Roman"/>
                <w:sz w:val="24"/>
                <w:szCs w:val="24"/>
              </w:rPr>
              <w:t>货物合同金额的</w:t>
            </w:r>
            <w:r>
              <w:rPr>
                <w:rFonts w:ascii="宋体" w:hAnsi="宋体" w:eastAsia="宋体" w:cs="Times New Roman"/>
                <w:sz w:val="24"/>
                <w:szCs w:val="24"/>
              </w:rPr>
              <w:t>1</w:t>
            </w:r>
            <w:r>
              <w:rPr>
                <w:rFonts w:hint="eastAsia" w:ascii="宋体" w:hAnsi="宋体" w:eastAsia="宋体" w:cs="Times New Roman"/>
                <w:sz w:val="24"/>
                <w:szCs w:val="24"/>
              </w:rPr>
              <w:t>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pPr>
              <w:spacing w:line="360" w:lineRule="auto"/>
              <w:ind w:left="2067" w:leftChars="299" w:hanging="1440" w:hangingChars="600"/>
              <w:rPr>
                <w:rFonts w:ascii="宋体" w:hAnsi="宋体" w:eastAsia="宋体" w:cs="Times New Roman"/>
                <w:sz w:val="24"/>
                <w:szCs w:val="24"/>
              </w:rPr>
            </w:pPr>
            <w:r>
              <w:rPr>
                <w:rFonts w:hint="eastAsia" w:ascii="宋体" w:hAnsi="宋体" w:eastAsia="宋体" w:cs="Times New Roman"/>
                <w:sz w:val="24"/>
                <w:szCs w:val="24"/>
              </w:rPr>
              <w:t>20.1.1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份发货金额60％的以买方为付款人并交买方银行的即期汇票。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hanging="1428"/>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(b)</w:t>
            </w:r>
            <w:r>
              <w:rPr>
                <w:rFonts w:hint="eastAsia" w:ascii="宋体" w:hAnsi="宋体" w:eastAsia="宋体" w:cs="Times New Roman"/>
                <w:sz w:val="24"/>
                <w:szCs w:val="24"/>
              </w:rPr>
              <w:tab/>
            </w:r>
            <w:r>
              <w:rPr>
                <w:rFonts w:hint="eastAsia" w:ascii="宋体" w:hAnsi="宋体" w:eastAsia="宋体" w:cs="Times New Roman"/>
                <w:sz w:val="24"/>
                <w:szCs w:val="24"/>
              </w:rPr>
              <w:t>货物合同金额的30</w:t>
            </w:r>
            <w:r>
              <w:rPr>
                <w:rFonts w:ascii="宋体" w:hAnsi="宋体" w:eastAsia="宋体" w:cs="Times New Roman"/>
                <w:sz w:val="24"/>
                <w:szCs w:val="24"/>
              </w:rPr>
              <w:t>%</w:t>
            </w:r>
            <w:r>
              <w:rPr>
                <w:rFonts w:hint="eastAsia" w:ascii="宋体" w:hAnsi="宋体" w:eastAsia="宋体" w:cs="Times New Roman"/>
                <w:sz w:val="24"/>
                <w:szCs w:val="24"/>
              </w:rPr>
              <w:t>将在合同货物送到买方后，在收到下列单据并审核无误后30个工作日内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支付。如货物进口时被实施加征关税，则加征的关税及由此增加的增值税等额外税费由卖方承担。如卖方未按约定另行支付给买方，买方有权在支付30%货款时直接予以扣减。</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(ii)</w:t>
            </w:r>
            <w:r>
              <w:rPr>
                <w:rFonts w:hint="eastAsia" w:ascii="宋体" w:hAnsi="宋体" w:eastAsia="宋体" w:cs="Times New Roman"/>
                <w:sz w:val="24"/>
                <w:szCs w:val="24"/>
              </w:rPr>
              <w:t xml:space="preserve"> 1份由买方签署的货物收货证明。</w:t>
            </w:r>
          </w:p>
          <w:p>
            <w:pPr>
              <w:spacing w:before="156" w:line="360" w:lineRule="auto"/>
              <w:ind w:left="2621" w:leftChars="894" w:hanging="744" w:hangingChars="310"/>
              <w:rPr>
                <w:rFonts w:ascii="宋体" w:hAnsi="宋体" w:eastAsia="宋体" w:cs="Times New Roman"/>
                <w:sz w:val="24"/>
                <w:szCs w:val="24"/>
              </w:rPr>
            </w:pPr>
            <w:r>
              <w:rPr>
                <w:rFonts w:ascii="宋体" w:hAnsi="宋体" w:eastAsia="宋体" w:cs="Times New Roman"/>
                <w:sz w:val="24"/>
                <w:szCs w:val="24"/>
              </w:rPr>
              <w:t xml:space="preserve">(iii) </w:t>
            </w:r>
            <w:r>
              <w:rPr>
                <w:rFonts w:hint="eastAsia" w:ascii="宋体" w:hAnsi="宋体" w:eastAsia="宋体" w:cs="Times New Roman"/>
                <w:sz w:val="24"/>
                <w:szCs w:val="24"/>
              </w:rPr>
              <w:t>如货物进口时被实施加征关税，卖方支付加征的关税及由此增加的增值税等额外税费的银行付款凭证。</w:t>
            </w:r>
          </w:p>
          <w:p>
            <w:pPr>
              <w:spacing w:before="156" w:line="360" w:lineRule="auto"/>
              <w:ind w:left="1912" w:leftChars="709" w:hanging="424" w:hanging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c</w:t>
            </w:r>
            <w:r>
              <w:rPr>
                <w:rFonts w:ascii="宋体" w:hAnsi="宋体" w:eastAsia="宋体" w:cs="Times New Roman"/>
                <w:sz w:val="24"/>
                <w:szCs w:val="24"/>
              </w:rPr>
              <w:t>)</w:t>
            </w:r>
            <w:r>
              <w:rPr>
                <w:rFonts w:hint="eastAsia" w:ascii="宋体" w:hAnsi="宋体" w:eastAsia="宋体" w:cs="Times New Roman"/>
                <w:sz w:val="24"/>
                <w:szCs w:val="24"/>
              </w:rPr>
              <w:tab/>
            </w:r>
            <w:r>
              <w:rPr>
                <w:rFonts w:hint="eastAsia" w:ascii="宋体" w:hAnsi="宋体" w:eastAsia="宋体" w:cs="Times New Roman"/>
                <w:sz w:val="24"/>
                <w:szCs w:val="24"/>
              </w:rPr>
              <w:t>货物合同金额的10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Times New Roman"/>
                <w:sz w:val="24"/>
                <w:szCs w:val="20"/>
              </w:rPr>
            </w:pP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keepNext/>
        <w:keepLines/>
        <w:autoSpaceDE w:val="0"/>
        <w:autoSpaceDN w:val="0"/>
        <w:spacing w:line="360" w:lineRule="auto"/>
        <w:ind w:left="1919" w:leftChars="914" w:right="73" w:firstLine="723" w:firstLineChars="200"/>
        <w:outlineLvl w:val="2"/>
        <w:rPr>
          <w:rFonts w:ascii="宋体" w:hAnsi="宋体" w:eastAsia="宋体" w:cs="Times New Roman"/>
          <w:b/>
          <w:sz w:val="36"/>
          <w:szCs w:val="20"/>
        </w:rPr>
      </w:pPr>
      <w:bookmarkStart w:id="18" w:name="_Toc9066361"/>
      <w:bookmarkStart w:id="19" w:name="_Toc11326095"/>
      <w:r>
        <w:rPr>
          <w:rFonts w:hint="eastAsia" w:ascii="宋体" w:hAnsi="宋体" w:eastAsia="宋体" w:cs="Times New Roman"/>
          <w:b/>
          <w:sz w:val="36"/>
          <w:szCs w:val="20"/>
        </w:rPr>
        <w:t>第四章 货物需求一览表及技术规格</w:t>
      </w:r>
      <w:bookmarkEnd w:id="18"/>
      <w:bookmarkEnd w:id="19"/>
    </w:p>
    <w:tbl>
      <w:tblPr>
        <w:tblStyle w:val="31"/>
        <w:tblW w:w="7763" w:type="dxa"/>
        <w:jc w:val="center"/>
        <w:tblLayout w:type="fixed"/>
        <w:tblCellMar>
          <w:top w:w="0" w:type="dxa"/>
          <w:left w:w="108" w:type="dxa"/>
          <w:bottom w:w="0" w:type="dxa"/>
          <w:right w:w="108" w:type="dxa"/>
        </w:tblCellMar>
      </w:tblPr>
      <w:tblGrid>
        <w:gridCol w:w="1080"/>
        <w:gridCol w:w="681"/>
        <w:gridCol w:w="6002"/>
      </w:tblGrid>
      <w:tr>
        <w:tblPrEx>
          <w:tblCellMar>
            <w:top w:w="0" w:type="dxa"/>
            <w:left w:w="108" w:type="dxa"/>
            <w:bottom w:w="0" w:type="dxa"/>
            <w:right w:w="108" w:type="dxa"/>
          </w:tblCellMar>
        </w:tblPrEx>
        <w:trPr>
          <w:trHeight w:val="315" w:hRule="atLeast"/>
          <w:jc w:val="center"/>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序号</w:t>
            </w:r>
          </w:p>
        </w:tc>
        <w:tc>
          <w:tcPr>
            <w:tcW w:w="681"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项目</w:t>
            </w:r>
          </w:p>
        </w:tc>
        <w:tc>
          <w:tcPr>
            <w:tcW w:w="6002"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招标要求</w:t>
            </w:r>
          </w:p>
        </w:tc>
      </w:tr>
      <w:tr>
        <w:tblPrEx>
          <w:tblCellMar>
            <w:top w:w="0" w:type="dxa"/>
            <w:left w:w="108" w:type="dxa"/>
            <w:bottom w:w="0" w:type="dxa"/>
            <w:right w:w="108" w:type="dxa"/>
          </w:tblCellMar>
        </w:tblPrEx>
        <w:trPr>
          <w:trHeight w:val="315" w:hRule="atLeast"/>
          <w:jc w:val="center"/>
        </w:trPr>
        <w:tc>
          <w:tcPr>
            <w:tcW w:w="7763" w:type="dxa"/>
            <w:gridSpan w:val="3"/>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1.总体描述</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681"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品名</w:t>
            </w:r>
          </w:p>
        </w:tc>
        <w:tc>
          <w:tcPr>
            <w:tcW w:w="6002"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空气压缩机</w:t>
            </w:r>
          </w:p>
        </w:tc>
      </w:tr>
      <w:tr>
        <w:tblPrEx>
          <w:tblCellMar>
            <w:top w:w="0" w:type="dxa"/>
            <w:left w:w="108" w:type="dxa"/>
            <w:bottom w:w="0" w:type="dxa"/>
            <w:right w:w="108" w:type="dxa"/>
          </w:tblCellMar>
        </w:tblPrEx>
        <w:trPr>
          <w:trHeight w:val="342"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681"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数量</w:t>
            </w:r>
          </w:p>
        </w:tc>
        <w:tc>
          <w:tcPr>
            <w:tcW w:w="6002"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壹套</w:t>
            </w:r>
          </w:p>
        </w:tc>
      </w:tr>
      <w:tr>
        <w:tblPrEx>
          <w:tblCellMar>
            <w:top w:w="0" w:type="dxa"/>
            <w:left w:w="108" w:type="dxa"/>
            <w:bottom w:w="0" w:type="dxa"/>
            <w:right w:w="108" w:type="dxa"/>
          </w:tblCellMar>
        </w:tblPrEx>
        <w:trPr>
          <w:trHeight w:val="442"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1.3</w:t>
            </w:r>
          </w:p>
        </w:tc>
        <w:tc>
          <w:tcPr>
            <w:tcW w:w="681"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themeColor="text1"/>
                <w:szCs w:val="21"/>
              </w:rPr>
            </w:pPr>
            <w:r>
              <w:rPr>
                <w:rFonts w:hint="eastAsia" w:ascii="宋体" w:hAnsi="宋体" w:eastAsia="宋体" w:cs="宋体"/>
                <w:color w:val="000000" w:themeColor="text1"/>
                <w:szCs w:val="21"/>
              </w:rPr>
              <w:t>用途</w:t>
            </w:r>
          </w:p>
        </w:tc>
        <w:tc>
          <w:tcPr>
            <w:tcW w:w="6002"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themeColor="text1"/>
                <w:szCs w:val="21"/>
              </w:rPr>
            </w:pPr>
            <w:r>
              <w:rPr>
                <w:rFonts w:hint="eastAsia" w:ascii="宋体" w:hAnsi="宋体" w:eastAsia="宋体" w:cs="宋体"/>
                <w:color w:val="000000"/>
                <w:kern w:val="0"/>
                <w:sz w:val="22"/>
              </w:rPr>
              <w:t>用于供应室灭菌器，气枪等稳定气源。</w:t>
            </w:r>
          </w:p>
        </w:tc>
      </w:tr>
      <w:tr>
        <w:tblPrEx>
          <w:tblCellMar>
            <w:top w:w="0" w:type="dxa"/>
            <w:left w:w="108" w:type="dxa"/>
            <w:bottom w:w="0" w:type="dxa"/>
            <w:right w:w="108" w:type="dxa"/>
          </w:tblCellMar>
        </w:tblPrEx>
        <w:trPr>
          <w:trHeight w:val="442" w:hRule="atLeast"/>
          <w:jc w:val="center"/>
        </w:trPr>
        <w:tc>
          <w:tcPr>
            <w:tcW w:w="7763" w:type="dxa"/>
            <w:gridSpan w:val="3"/>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eastAsia="宋体" w:cs="宋体"/>
                <w:b/>
                <w:color w:val="000000" w:themeColor="text1"/>
                <w:szCs w:val="21"/>
              </w:rPr>
            </w:pPr>
            <w:r>
              <w:rPr>
                <w:rFonts w:hint="eastAsia" w:ascii="宋体" w:hAnsi="宋体" w:eastAsia="宋体" w:cs="宋体"/>
                <w:b/>
                <w:color w:val="000000" w:themeColor="text1"/>
                <w:szCs w:val="21"/>
              </w:rPr>
              <w:t>2.</w:t>
            </w:r>
            <w:r>
              <w:rPr>
                <w:rFonts w:hint="eastAsia" w:ascii="宋体" w:hAnsi="宋体" w:eastAsia="宋体" w:cs="宋体"/>
                <w:color w:val="000000"/>
                <w:kern w:val="0"/>
                <w:sz w:val="22"/>
              </w:rPr>
              <w:t xml:space="preserve"> 主要性能要求</w:t>
            </w:r>
          </w:p>
        </w:tc>
      </w:tr>
      <w:tr>
        <w:tblPrEx>
          <w:tblCellMar>
            <w:top w:w="0" w:type="dxa"/>
            <w:left w:w="108" w:type="dxa"/>
            <w:bottom w:w="0" w:type="dxa"/>
            <w:right w:w="108" w:type="dxa"/>
          </w:tblCellMar>
        </w:tblPrEx>
        <w:trPr>
          <w:trHeight w:val="442"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rPr>
              <w:t>2.1</w:t>
            </w:r>
          </w:p>
        </w:tc>
        <w:tc>
          <w:tcPr>
            <w:tcW w:w="681" w:type="dxa"/>
            <w:tcBorders>
              <w:top w:val="nil"/>
              <w:left w:val="nil"/>
              <w:bottom w:val="single" w:color="000000" w:sz="8" w:space="0"/>
              <w:right w:val="single" w:color="000000" w:sz="8" w:space="0"/>
            </w:tcBorders>
            <w:shd w:val="clear" w:color="auto" w:fill="auto"/>
          </w:tcPr>
          <w:p>
            <w:pPr>
              <w:jc w:val="left"/>
              <w:rPr>
                <w:rFonts w:ascii="宋体" w:hAnsi="宋体" w:eastAsia="宋体"/>
              </w:rPr>
            </w:pPr>
            <w:r>
              <w:rPr>
                <w:rFonts w:hint="eastAsia" w:ascii="宋体" w:hAnsi="宋体" w:eastAsia="宋体" w:cs="宋体"/>
                <w:color w:val="000000"/>
                <w:kern w:val="0"/>
                <w:sz w:val="22"/>
              </w:rPr>
              <w:t>主机功率</w:t>
            </w:r>
          </w:p>
        </w:tc>
        <w:tc>
          <w:tcPr>
            <w:tcW w:w="6002" w:type="dxa"/>
            <w:tcBorders>
              <w:top w:val="single" w:color="000000" w:sz="8" w:space="0"/>
              <w:left w:val="nil"/>
              <w:bottom w:val="single" w:color="000000" w:sz="8" w:space="0"/>
              <w:right w:val="single" w:color="000000" w:sz="8" w:space="0"/>
            </w:tcBorders>
            <w:shd w:val="clear" w:color="auto" w:fill="auto"/>
          </w:tcPr>
          <w:p>
            <w:pPr>
              <w:rPr>
                <w:rFonts w:ascii="宋体" w:hAnsi="宋体" w:eastAsia="宋体"/>
                <w:kern w:val="0"/>
                <w:sz w:val="24"/>
                <w:szCs w:val="24"/>
              </w:rPr>
            </w:pPr>
            <w:r>
              <w:rPr>
                <w:rFonts w:hint="eastAsia" w:ascii="宋体" w:hAnsi="宋体" w:eastAsia="宋体" w:cs="宋体"/>
                <w:color w:val="000000"/>
                <w:kern w:val="0"/>
                <w:sz w:val="22"/>
              </w:rPr>
              <w:t>2.2KW*2台</w:t>
            </w:r>
          </w:p>
        </w:tc>
      </w:tr>
      <w:tr>
        <w:tblPrEx>
          <w:tblCellMar>
            <w:top w:w="0" w:type="dxa"/>
            <w:left w:w="108" w:type="dxa"/>
            <w:bottom w:w="0" w:type="dxa"/>
            <w:right w:w="108" w:type="dxa"/>
          </w:tblCellMar>
        </w:tblPrEx>
        <w:trPr>
          <w:trHeight w:val="385"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rPr>
              <w:t>2.2</w:t>
            </w:r>
          </w:p>
        </w:tc>
        <w:tc>
          <w:tcPr>
            <w:tcW w:w="681" w:type="dxa"/>
            <w:tcBorders>
              <w:top w:val="nil"/>
              <w:left w:val="nil"/>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cs="宋体"/>
                <w:color w:val="000000"/>
                <w:kern w:val="0"/>
                <w:sz w:val="22"/>
              </w:rPr>
              <w:t>电压</w:t>
            </w:r>
          </w:p>
        </w:tc>
        <w:tc>
          <w:tcPr>
            <w:tcW w:w="6002" w:type="dxa"/>
            <w:tcBorders>
              <w:top w:val="single" w:color="000000" w:sz="8" w:space="0"/>
              <w:left w:val="nil"/>
              <w:bottom w:val="single" w:color="000000" w:sz="8" w:space="0"/>
              <w:right w:val="single" w:color="000000" w:sz="8" w:space="0"/>
            </w:tcBorders>
            <w:shd w:val="clear" w:color="auto" w:fill="auto"/>
          </w:tcPr>
          <w:p>
            <w:pPr>
              <w:rPr>
                <w:rFonts w:ascii="宋体" w:hAnsi="宋体" w:eastAsia="宋体"/>
              </w:rPr>
            </w:pPr>
            <w:r>
              <w:rPr>
                <w:rFonts w:hint="eastAsia" w:ascii="宋体" w:hAnsi="宋体" w:eastAsia="宋体" w:cs="宋体"/>
                <w:color w:val="000000"/>
                <w:kern w:val="0"/>
                <w:sz w:val="22"/>
              </w:rPr>
              <w:t>380V</w:t>
            </w:r>
          </w:p>
        </w:tc>
      </w:tr>
      <w:tr>
        <w:tblPrEx>
          <w:tblCellMar>
            <w:top w:w="0" w:type="dxa"/>
            <w:left w:w="108" w:type="dxa"/>
            <w:bottom w:w="0" w:type="dxa"/>
            <w:right w:w="108" w:type="dxa"/>
          </w:tblCellMar>
        </w:tblPrEx>
        <w:trPr>
          <w:trHeight w:val="393"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rPr>
              <w:t>2.3</w:t>
            </w:r>
          </w:p>
        </w:tc>
        <w:tc>
          <w:tcPr>
            <w:tcW w:w="681" w:type="dxa"/>
            <w:tcBorders>
              <w:top w:val="nil"/>
              <w:left w:val="nil"/>
              <w:bottom w:val="single" w:color="000000" w:sz="8" w:space="0"/>
              <w:right w:val="single" w:color="000000" w:sz="8" w:space="0"/>
            </w:tcBorders>
            <w:shd w:val="clear" w:color="auto" w:fill="auto"/>
          </w:tcPr>
          <w:p>
            <w:pPr>
              <w:jc w:val="left"/>
              <w:rPr>
                <w:rFonts w:ascii="宋体" w:hAnsi="宋体" w:eastAsia="宋体"/>
              </w:rPr>
            </w:pPr>
            <w:r>
              <w:rPr>
                <w:rFonts w:hint="eastAsia" w:ascii="宋体" w:hAnsi="宋体" w:eastAsia="宋体" w:cs="宋体"/>
                <w:color w:val="000000"/>
                <w:kern w:val="0"/>
                <w:sz w:val="22"/>
              </w:rPr>
              <w:t>排气量</w:t>
            </w:r>
          </w:p>
        </w:tc>
        <w:tc>
          <w:tcPr>
            <w:tcW w:w="6002" w:type="dxa"/>
            <w:tcBorders>
              <w:top w:val="single" w:color="000000" w:sz="8" w:space="0"/>
              <w:left w:val="nil"/>
              <w:bottom w:val="single" w:color="000000" w:sz="8" w:space="0"/>
              <w:right w:val="single" w:color="000000" w:sz="8" w:space="0"/>
            </w:tcBorders>
            <w:shd w:val="clear" w:color="auto" w:fill="auto"/>
          </w:tcPr>
          <w:p>
            <w:pPr>
              <w:rPr>
                <w:rFonts w:ascii="宋体" w:hAnsi="宋体" w:eastAsia="宋体"/>
              </w:rPr>
            </w:pPr>
            <w:r>
              <w:rPr>
                <w:rFonts w:hint="eastAsia" w:ascii="宋体" w:hAnsi="宋体" w:eastAsia="宋体" w:cs="宋体"/>
                <w:color w:val="000000"/>
                <w:kern w:val="0"/>
                <w:sz w:val="22"/>
              </w:rPr>
              <w:t>≥0.24m³/Min *2台</w:t>
            </w:r>
          </w:p>
        </w:tc>
      </w:tr>
      <w:tr>
        <w:tblPrEx>
          <w:tblCellMar>
            <w:top w:w="0" w:type="dxa"/>
            <w:left w:w="108" w:type="dxa"/>
            <w:bottom w:w="0" w:type="dxa"/>
            <w:right w:w="108" w:type="dxa"/>
          </w:tblCellMar>
        </w:tblPrEx>
        <w:trPr>
          <w:trHeight w:val="527"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rPr>
              <w:t>2.4</w:t>
            </w:r>
          </w:p>
        </w:tc>
        <w:tc>
          <w:tcPr>
            <w:tcW w:w="681" w:type="dxa"/>
            <w:tcBorders>
              <w:top w:val="nil"/>
              <w:left w:val="nil"/>
              <w:bottom w:val="single" w:color="000000" w:sz="8" w:space="0"/>
              <w:right w:val="single" w:color="000000" w:sz="8" w:space="0"/>
            </w:tcBorders>
            <w:shd w:val="clear" w:color="auto" w:fill="auto"/>
          </w:tcPr>
          <w:p>
            <w:pPr>
              <w:jc w:val="left"/>
              <w:rPr>
                <w:rFonts w:ascii="宋体" w:hAnsi="宋体" w:eastAsia="宋体"/>
              </w:rPr>
            </w:pPr>
            <w:r>
              <w:rPr>
                <w:rFonts w:hint="eastAsia" w:ascii="宋体" w:hAnsi="宋体" w:eastAsia="宋体" w:cs="宋体"/>
                <w:color w:val="000000"/>
                <w:kern w:val="0"/>
                <w:sz w:val="22"/>
              </w:rPr>
              <w:t>使用压力</w:t>
            </w:r>
          </w:p>
        </w:tc>
        <w:tc>
          <w:tcPr>
            <w:tcW w:w="6002" w:type="dxa"/>
            <w:tcBorders>
              <w:top w:val="single" w:color="000000" w:sz="8" w:space="0"/>
              <w:left w:val="nil"/>
              <w:bottom w:val="single" w:color="000000" w:sz="8" w:space="0"/>
              <w:right w:val="single" w:color="000000" w:sz="8" w:space="0"/>
            </w:tcBorders>
            <w:shd w:val="clear" w:color="auto" w:fill="auto"/>
          </w:tcPr>
          <w:p>
            <w:pPr>
              <w:widowControl/>
              <w:jc w:val="left"/>
              <w:rPr>
                <w:rFonts w:ascii="宋体" w:hAnsi="宋体" w:eastAsia="宋体"/>
                <w:kern w:val="0"/>
                <w:sz w:val="24"/>
                <w:szCs w:val="24"/>
              </w:rPr>
            </w:pPr>
            <w:r>
              <w:rPr>
                <w:rFonts w:hint="eastAsia" w:ascii="宋体" w:hAnsi="宋体" w:eastAsia="宋体" w:cs="宋体"/>
                <w:color w:val="000000"/>
                <w:kern w:val="0"/>
                <w:sz w:val="22"/>
              </w:rPr>
              <w:t>0.6-0.8Mpa</w:t>
            </w:r>
          </w:p>
        </w:tc>
      </w:tr>
      <w:tr>
        <w:tblPrEx>
          <w:tblCellMar>
            <w:top w:w="0" w:type="dxa"/>
            <w:left w:w="108" w:type="dxa"/>
            <w:bottom w:w="0" w:type="dxa"/>
            <w:right w:w="108" w:type="dxa"/>
          </w:tblCellMar>
        </w:tblPrEx>
        <w:trPr>
          <w:trHeight w:val="380"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cs="宋体"/>
                <w:color w:val="000000"/>
                <w:kern w:val="0"/>
                <w:szCs w:val="21"/>
              </w:rPr>
              <w:t>★</w:t>
            </w:r>
            <w:r>
              <w:rPr>
                <w:rFonts w:hint="eastAsia" w:ascii="宋体" w:hAnsi="宋体" w:eastAsia="宋体"/>
              </w:rPr>
              <w:t>2.5</w:t>
            </w:r>
          </w:p>
        </w:tc>
        <w:tc>
          <w:tcPr>
            <w:tcW w:w="681" w:type="dxa"/>
            <w:tcBorders>
              <w:top w:val="nil"/>
              <w:left w:val="nil"/>
              <w:bottom w:val="single" w:color="000000" w:sz="8" w:space="0"/>
              <w:right w:val="single" w:color="000000" w:sz="8" w:space="0"/>
            </w:tcBorders>
            <w:shd w:val="clear" w:color="auto" w:fill="auto"/>
          </w:tcPr>
          <w:p>
            <w:pPr>
              <w:jc w:val="left"/>
              <w:rPr>
                <w:rFonts w:ascii="宋体" w:hAnsi="宋体" w:eastAsia="宋体"/>
              </w:rPr>
            </w:pPr>
            <w:r>
              <w:rPr>
                <w:rFonts w:ascii="宋体" w:hAnsi="宋体" w:eastAsia="宋体" w:cs="宋体"/>
                <w:color w:val="000000"/>
                <w:kern w:val="0"/>
                <w:sz w:val="22"/>
              </w:rPr>
              <w:t>噪声</w:t>
            </w:r>
          </w:p>
        </w:tc>
        <w:tc>
          <w:tcPr>
            <w:tcW w:w="6002" w:type="dxa"/>
            <w:tcBorders>
              <w:top w:val="single" w:color="000000" w:sz="8" w:space="0"/>
              <w:left w:val="nil"/>
              <w:bottom w:val="single" w:color="000000" w:sz="8" w:space="0"/>
              <w:right w:val="single" w:color="000000" w:sz="8" w:space="0"/>
            </w:tcBorders>
            <w:shd w:val="clear" w:color="auto" w:fill="auto"/>
          </w:tcPr>
          <w:p>
            <w:pPr>
              <w:rPr>
                <w:rFonts w:ascii="宋体" w:hAnsi="宋体" w:eastAsia="宋体"/>
                <w:lang w:val="de-DE"/>
              </w:rPr>
            </w:pPr>
            <w:r>
              <w:rPr>
                <w:rFonts w:ascii="宋体" w:hAnsi="宋体" w:eastAsia="宋体" w:cs="宋体"/>
                <w:color w:val="000000"/>
                <w:kern w:val="0"/>
                <w:sz w:val="22"/>
              </w:rPr>
              <w:t>≤7</w:t>
            </w:r>
            <w:r>
              <w:rPr>
                <w:rFonts w:hint="eastAsia" w:ascii="宋体" w:hAnsi="宋体" w:eastAsia="宋体" w:cs="宋体"/>
                <w:color w:val="000000"/>
                <w:kern w:val="0"/>
                <w:sz w:val="22"/>
                <w:lang w:val="en-US" w:eastAsia="zh-CN"/>
              </w:rPr>
              <w:t>5</w:t>
            </w:r>
            <w:r>
              <w:rPr>
                <w:rFonts w:ascii="宋体" w:hAnsi="宋体" w:eastAsia="宋体" w:cs="宋体"/>
                <w:color w:val="000000"/>
                <w:kern w:val="0"/>
                <w:sz w:val="22"/>
              </w:rPr>
              <w:t>db</w:t>
            </w:r>
          </w:p>
        </w:tc>
      </w:tr>
      <w:tr>
        <w:tblPrEx>
          <w:tblCellMar>
            <w:top w:w="0" w:type="dxa"/>
            <w:left w:w="108" w:type="dxa"/>
            <w:bottom w:w="0" w:type="dxa"/>
            <w:right w:w="108" w:type="dxa"/>
          </w:tblCellMar>
        </w:tblPrEx>
        <w:trPr>
          <w:trHeight w:val="418"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rPr>
              <w:t>2.6</w:t>
            </w:r>
          </w:p>
        </w:tc>
        <w:tc>
          <w:tcPr>
            <w:tcW w:w="681" w:type="dxa"/>
            <w:tcBorders>
              <w:top w:val="nil"/>
              <w:left w:val="nil"/>
              <w:bottom w:val="single" w:color="000000" w:sz="8" w:space="0"/>
              <w:right w:val="single" w:color="000000" w:sz="8" w:space="0"/>
            </w:tcBorders>
            <w:shd w:val="clear" w:color="auto" w:fill="auto"/>
          </w:tcPr>
          <w:p>
            <w:pPr>
              <w:rPr>
                <w:rFonts w:ascii="宋体" w:hAnsi="宋体" w:eastAsia="宋体"/>
              </w:rPr>
            </w:pPr>
            <w:r>
              <w:rPr>
                <w:rFonts w:hint="eastAsia" w:ascii="宋体" w:hAnsi="宋体" w:eastAsia="宋体" w:cs="宋体"/>
                <w:color w:val="000000"/>
                <w:kern w:val="0"/>
                <w:sz w:val="22"/>
              </w:rPr>
              <w:t>储气罐</w:t>
            </w:r>
          </w:p>
        </w:tc>
        <w:tc>
          <w:tcPr>
            <w:tcW w:w="6002" w:type="dxa"/>
            <w:tcBorders>
              <w:top w:val="single" w:color="000000" w:sz="8" w:space="0"/>
              <w:left w:val="nil"/>
              <w:bottom w:val="single" w:color="000000" w:sz="8" w:space="0"/>
              <w:right w:val="single" w:color="000000" w:sz="8" w:space="0"/>
            </w:tcBorders>
            <w:shd w:val="clear" w:color="auto" w:fill="auto"/>
          </w:tcPr>
          <w:p>
            <w:pPr>
              <w:rPr>
                <w:rFonts w:ascii="宋体" w:hAnsi="宋体" w:eastAsia="宋体"/>
              </w:rPr>
            </w:pPr>
            <w:r>
              <w:rPr>
                <w:rFonts w:hint="eastAsia" w:ascii="宋体" w:hAnsi="宋体" w:eastAsia="宋体" w:cs="宋体"/>
                <w:color w:val="000000"/>
                <w:kern w:val="0"/>
                <w:sz w:val="22"/>
              </w:rPr>
              <w:t>容积≥300L，压力≥0.8Mpa</w:t>
            </w:r>
          </w:p>
        </w:tc>
      </w:tr>
      <w:tr>
        <w:tblPrEx>
          <w:tblCellMar>
            <w:top w:w="0" w:type="dxa"/>
            <w:left w:w="108" w:type="dxa"/>
            <w:bottom w:w="0" w:type="dxa"/>
            <w:right w:w="108" w:type="dxa"/>
          </w:tblCellMar>
        </w:tblPrEx>
        <w:trPr>
          <w:trHeight w:val="430"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rPr>
              <w:t>2.7</w:t>
            </w:r>
          </w:p>
        </w:tc>
        <w:tc>
          <w:tcPr>
            <w:tcW w:w="681" w:type="dxa"/>
            <w:tcBorders>
              <w:top w:val="nil"/>
              <w:left w:val="nil"/>
              <w:bottom w:val="single" w:color="000000" w:sz="8" w:space="0"/>
              <w:right w:val="single" w:color="000000" w:sz="8" w:space="0"/>
            </w:tcBorders>
            <w:shd w:val="clear" w:color="auto" w:fill="auto"/>
          </w:tcPr>
          <w:p>
            <w:pPr>
              <w:jc w:val="left"/>
              <w:rPr>
                <w:rFonts w:ascii="宋体" w:hAnsi="宋体" w:eastAsia="宋体"/>
              </w:rPr>
            </w:pPr>
            <w:r>
              <w:rPr>
                <w:rFonts w:hint="eastAsia" w:ascii="宋体" w:hAnsi="宋体" w:eastAsia="宋体" w:cs="宋体"/>
                <w:color w:val="000000"/>
                <w:kern w:val="0"/>
                <w:sz w:val="22"/>
              </w:rPr>
              <w:t>干燥过滤器</w:t>
            </w:r>
          </w:p>
        </w:tc>
        <w:tc>
          <w:tcPr>
            <w:tcW w:w="6002" w:type="dxa"/>
            <w:tcBorders>
              <w:top w:val="single" w:color="000000" w:sz="8" w:space="0"/>
              <w:left w:val="nil"/>
              <w:bottom w:val="single" w:color="000000" w:sz="8" w:space="0"/>
              <w:right w:val="single" w:color="000000" w:sz="8" w:space="0"/>
            </w:tcBorders>
            <w:shd w:val="clear" w:color="auto" w:fill="auto"/>
          </w:tcPr>
          <w:p>
            <w:pPr>
              <w:rPr>
                <w:rFonts w:ascii="宋体" w:hAnsi="宋体" w:eastAsia="宋体"/>
              </w:rPr>
            </w:pPr>
            <w:r>
              <w:rPr>
                <w:rFonts w:hint="eastAsia" w:ascii="宋体" w:hAnsi="宋体" w:eastAsia="宋体" w:cs="宋体"/>
                <w:color w:val="000000"/>
                <w:kern w:val="0"/>
                <w:sz w:val="22"/>
              </w:rPr>
              <w:t>处理风量≥0.7m³/Min</w:t>
            </w:r>
          </w:p>
        </w:tc>
      </w:tr>
      <w:tr>
        <w:tblPrEx>
          <w:tblCellMar>
            <w:top w:w="0" w:type="dxa"/>
            <w:left w:w="108" w:type="dxa"/>
            <w:bottom w:w="0" w:type="dxa"/>
            <w:right w:w="108" w:type="dxa"/>
          </w:tblCellMar>
        </w:tblPrEx>
        <w:trPr>
          <w:trHeight w:val="292"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cs="宋体"/>
                <w:color w:val="000000"/>
                <w:kern w:val="0"/>
                <w:szCs w:val="21"/>
              </w:rPr>
              <w:t>★</w:t>
            </w:r>
            <w:r>
              <w:rPr>
                <w:rFonts w:hint="eastAsia" w:ascii="宋体" w:hAnsi="宋体" w:eastAsia="宋体"/>
              </w:rPr>
              <w:t>2.8</w:t>
            </w:r>
          </w:p>
        </w:tc>
        <w:tc>
          <w:tcPr>
            <w:tcW w:w="6683" w:type="dxa"/>
            <w:gridSpan w:val="2"/>
            <w:tcBorders>
              <w:top w:val="nil"/>
              <w:left w:val="nil"/>
              <w:bottom w:val="single" w:color="000000" w:sz="8" w:space="0"/>
              <w:right w:val="single" w:color="000000" w:sz="8" w:space="0"/>
            </w:tcBorders>
            <w:shd w:val="clear" w:color="auto" w:fill="auto"/>
          </w:tcPr>
          <w:p>
            <w:pPr>
              <w:rPr>
                <w:rFonts w:ascii="宋体" w:hAnsi="宋体" w:eastAsia="宋体"/>
              </w:rPr>
            </w:pPr>
            <w:r>
              <w:rPr>
                <w:rFonts w:ascii="宋体" w:hAnsi="宋体" w:eastAsia="宋体" w:cs="宋体"/>
                <w:color w:val="000000"/>
                <w:kern w:val="0"/>
                <w:sz w:val="22"/>
              </w:rPr>
              <w:t>压缩空气洁净，无尘无油无水.</w:t>
            </w:r>
          </w:p>
        </w:tc>
      </w:tr>
      <w:tr>
        <w:tblPrEx>
          <w:tblCellMar>
            <w:top w:w="0" w:type="dxa"/>
            <w:left w:w="108" w:type="dxa"/>
            <w:bottom w:w="0" w:type="dxa"/>
            <w:right w:w="108" w:type="dxa"/>
          </w:tblCellMar>
        </w:tblPrEx>
        <w:trPr>
          <w:trHeight w:val="368" w:hRule="atLeast"/>
          <w:jc w:val="center"/>
        </w:trPr>
        <w:tc>
          <w:tcPr>
            <w:tcW w:w="1080" w:type="dxa"/>
            <w:tcBorders>
              <w:top w:val="nil"/>
              <w:left w:val="single" w:color="000000" w:sz="8" w:space="0"/>
              <w:bottom w:val="single" w:color="000000" w:sz="8" w:space="0"/>
              <w:right w:val="single" w:color="000000" w:sz="8" w:space="0"/>
            </w:tcBorders>
            <w:shd w:val="clear" w:color="auto" w:fill="auto"/>
          </w:tcPr>
          <w:p>
            <w:pPr>
              <w:jc w:val="center"/>
              <w:rPr>
                <w:rFonts w:ascii="宋体" w:hAnsi="宋体" w:eastAsia="宋体"/>
              </w:rPr>
            </w:pPr>
            <w:r>
              <w:rPr>
                <w:rFonts w:hint="eastAsia" w:ascii="宋体" w:hAnsi="宋体" w:eastAsia="宋体" w:cs="宋体"/>
                <w:color w:val="000000"/>
                <w:kern w:val="0"/>
                <w:szCs w:val="21"/>
              </w:rPr>
              <w:t>★</w:t>
            </w:r>
            <w:r>
              <w:rPr>
                <w:rFonts w:hint="eastAsia" w:ascii="宋体" w:hAnsi="宋体" w:eastAsia="宋体"/>
              </w:rPr>
              <w:t>2.9</w:t>
            </w:r>
          </w:p>
        </w:tc>
        <w:tc>
          <w:tcPr>
            <w:tcW w:w="6683" w:type="dxa"/>
            <w:gridSpan w:val="2"/>
            <w:tcBorders>
              <w:top w:val="nil"/>
              <w:left w:val="nil"/>
              <w:bottom w:val="single" w:color="000000" w:sz="8" w:space="0"/>
              <w:right w:val="single" w:color="000000" w:sz="8" w:space="0"/>
            </w:tcBorders>
            <w:shd w:val="clear" w:color="auto" w:fill="auto"/>
          </w:tcPr>
          <w:p>
            <w:pPr>
              <w:jc w:val="left"/>
              <w:rPr>
                <w:rFonts w:ascii="宋体" w:hAnsi="宋体" w:eastAsia="宋体"/>
              </w:rPr>
            </w:pPr>
            <w:r>
              <w:rPr>
                <w:rFonts w:hint="eastAsia" w:ascii="宋体" w:hAnsi="宋体" w:eastAsia="宋体" w:cs="宋体"/>
                <w:color w:val="000000"/>
                <w:kern w:val="0"/>
                <w:sz w:val="22"/>
              </w:rPr>
              <w:t>2台主机一用一备确保灭菌工作不耽误（当其中一台出现故障  或用气高峰则备机自动开启补充压力，临时维护也不影响重要设备运行）.</w:t>
            </w:r>
          </w:p>
        </w:tc>
      </w:tr>
      <w:tr>
        <w:tblPrEx>
          <w:tblCellMar>
            <w:top w:w="0" w:type="dxa"/>
            <w:left w:w="108" w:type="dxa"/>
            <w:bottom w:w="0" w:type="dxa"/>
            <w:right w:w="108" w:type="dxa"/>
          </w:tblCellMar>
        </w:tblPrEx>
        <w:trPr>
          <w:trHeight w:val="315"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681"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保修</w:t>
            </w:r>
          </w:p>
        </w:tc>
        <w:tc>
          <w:tcPr>
            <w:tcW w:w="6002" w:type="dxa"/>
            <w:tcBorders>
              <w:top w:val="nil"/>
              <w:left w:val="nil"/>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质保期≧3年</w:t>
            </w:r>
          </w:p>
        </w:tc>
      </w:tr>
    </w:tbl>
    <w:p>
      <w:pPr>
        <w:spacing w:line="360" w:lineRule="auto"/>
        <w:jc w:val="center"/>
        <w:rPr>
          <w:rFonts w:hint="eastAsia" w:ascii="宋体" w:hAnsi="宋体" w:eastAsia="宋体" w:cs="Times New Roman"/>
          <w:b/>
          <w:sz w:val="28"/>
          <w:szCs w:val="20"/>
        </w:rPr>
      </w:pPr>
    </w:p>
    <w:p>
      <w:pPr>
        <w:spacing w:line="360" w:lineRule="auto"/>
        <w:jc w:val="center"/>
        <w:rPr>
          <w:rFonts w:hint="eastAsia" w:ascii="宋体" w:hAnsi="宋体" w:eastAsia="宋体" w:cs="Times New Roman"/>
          <w:b/>
          <w:sz w:val="28"/>
          <w:szCs w:val="20"/>
        </w:rPr>
      </w:pPr>
    </w:p>
    <w:p>
      <w:pPr>
        <w:spacing w:line="360" w:lineRule="auto"/>
        <w:jc w:val="center"/>
        <w:rPr>
          <w:rFonts w:hint="eastAsia" w:ascii="宋体" w:hAnsi="宋体" w:eastAsia="宋体" w:cs="Times New Roman"/>
          <w:b/>
          <w:sz w:val="28"/>
          <w:szCs w:val="20"/>
        </w:rPr>
      </w:pPr>
    </w:p>
    <w:p>
      <w:pPr>
        <w:spacing w:line="360" w:lineRule="auto"/>
        <w:jc w:val="center"/>
        <w:rPr>
          <w:rFonts w:hint="eastAsia" w:ascii="宋体" w:hAnsi="宋体" w:eastAsia="宋体" w:cs="Times New Roman"/>
          <w:b/>
          <w:sz w:val="28"/>
          <w:szCs w:val="20"/>
        </w:rPr>
      </w:pPr>
    </w:p>
    <w:p>
      <w:pPr>
        <w:spacing w:line="360" w:lineRule="auto"/>
        <w:jc w:val="center"/>
        <w:rPr>
          <w:rFonts w:hint="eastAsia"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20" w:name="_Toc11326096"/>
      <w:r>
        <w:rPr>
          <w:rFonts w:hint="eastAsia" w:ascii="宋体" w:hAnsi="宋体" w:eastAsia="宋体" w:cs="Times New Roman"/>
          <w:b/>
          <w:sz w:val="28"/>
          <w:szCs w:val="20"/>
        </w:rPr>
        <w:t>附件1：无重大违法记录承诺书（格式）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21" w:name="_Hlk72236197"/>
      <w:r>
        <w:rPr>
          <w:rFonts w:hint="eastAsia" w:ascii="宋体" w:hAnsi="宋体" w:eastAsia="宋体" w:cs="Times New Roman"/>
          <w:sz w:val="24"/>
          <w:szCs w:val="20"/>
        </w:rPr>
        <w:t>上海市中医医院</w:t>
      </w:r>
      <w:bookmarkEnd w:id="21"/>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2" w:name="_Toc11326097"/>
      <w:r>
        <w:rPr>
          <w:rFonts w:hint="eastAsia" w:ascii="宋体" w:hAnsi="宋体" w:eastAsia="宋体" w:cs="Times New Roman"/>
          <w:b/>
          <w:sz w:val="28"/>
          <w:szCs w:val="20"/>
        </w:rPr>
        <w:t>附件2：无行贿犯罪记录声明函（格式）</w:t>
      </w:r>
      <w:bookmarkEnd w:id="22"/>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3" w:name="_Toc11325633"/>
      <w:bookmarkStart w:id="24" w:name="_Toc11326098"/>
      <w:r>
        <w:rPr>
          <w:rFonts w:hint="eastAsia" w:ascii="宋体" w:hAnsi="宋体" w:eastAsia="宋体" w:cs="Times New Roman"/>
          <w:b/>
          <w:sz w:val="28"/>
          <w:szCs w:val="20"/>
        </w:rPr>
        <w:t>附件3：关于原产于特定国家（地区）特定进口商品加征关税的承诺书（格式）</w:t>
      </w:r>
      <w:bookmarkEnd w:id="23"/>
      <w:bookmarkEnd w:id="24"/>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3</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jc2Mjk2MmIyZGNkYzQxNGQxYjVlNmUzYjZlNWQzZmEifQ=="/>
  </w:docVars>
  <w:rsids>
    <w:rsidRoot w:val="002264AA"/>
    <w:rsid w:val="000125C7"/>
    <w:rsid w:val="000B36BA"/>
    <w:rsid w:val="00144B78"/>
    <w:rsid w:val="001B1D6B"/>
    <w:rsid w:val="001D1C9F"/>
    <w:rsid w:val="00211DEF"/>
    <w:rsid w:val="002264AA"/>
    <w:rsid w:val="002621E5"/>
    <w:rsid w:val="00292763"/>
    <w:rsid w:val="00323D52"/>
    <w:rsid w:val="00337B10"/>
    <w:rsid w:val="003611C5"/>
    <w:rsid w:val="003B5D5B"/>
    <w:rsid w:val="004032EE"/>
    <w:rsid w:val="00421FAE"/>
    <w:rsid w:val="00492972"/>
    <w:rsid w:val="00512B42"/>
    <w:rsid w:val="0059538B"/>
    <w:rsid w:val="0061641C"/>
    <w:rsid w:val="00626C56"/>
    <w:rsid w:val="006473DF"/>
    <w:rsid w:val="006D2788"/>
    <w:rsid w:val="007261ED"/>
    <w:rsid w:val="00753A93"/>
    <w:rsid w:val="007A775E"/>
    <w:rsid w:val="007A7FCD"/>
    <w:rsid w:val="007C42D1"/>
    <w:rsid w:val="008024AD"/>
    <w:rsid w:val="00836CB1"/>
    <w:rsid w:val="00975668"/>
    <w:rsid w:val="009A2AA9"/>
    <w:rsid w:val="009D6949"/>
    <w:rsid w:val="00A1393F"/>
    <w:rsid w:val="00A876CF"/>
    <w:rsid w:val="00AB1682"/>
    <w:rsid w:val="00AB50E0"/>
    <w:rsid w:val="00B6491E"/>
    <w:rsid w:val="00BE75A9"/>
    <w:rsid w:val="00C222A6"/>
    <w:rsid w:val="00D45BAF"/>
    <w:rsid w:val="00D57486"/>
    <w:rsid w:val="00D73476"/>
    <w:rsid w:val="00F139E5"/>
    <w:rsid w:val="00F37B09"/>
    <w:rsid w:val="00F40EB9"/>
    <w:rsid w:val="00F9588B"/>
    <w:rsid w:val="012E69FA"/>
    <w:rsid w:val="0BF00DA4"/>
    <w:rsid w:val="1169440A"/>
    <w:rsid w:val="17CA4AB5"/>
    <w:rsid w:val="206F557C"/>
    <w:rsid w:val="22AA393E"/>
    <w:rsid w:val="28617815"/>
    <w:rsid w:val="2AB762ED"/>
    <w:rsid w:val="336D095B"/>
    <w:rsid w:val="35805CB4"/>
    <w:rsid w:val="416D419A"/>
    <w:rsid w:val="44C566DD"/>
    <w:rsid w:val="4814425C"/>
    <w:rsid w:val="4B863339"/>
    <w:rsid w:val="4D68308C"/>
    <w:rsid w:val="4D77632F"/>
    <w:rsid w:val="4E025C94"/>
    <w:rsid w:val="4EFA1091"/>
    <w:rsid w:val="5389510F"/>
    <w:rsid w:val="57667DDE"/>
    <w:rsid w:val="5D8C68C0"/>
    <w:rsid w:val="6A0856B9"/>
    <w:rsid w:val="77C35AEB"/>
    <w:rsid w:val="7CA2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qFormat/>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qFormat/>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qFormat/>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qFormat/>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qFormat/>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 w:type="character" w:customStyle="1" w:styleId="205">
    <w:name w:val="font21"/>
    <w:basedOn w:val="33"/>
    <w:qFormat/>
    <w:uiPriority w:val="0"/>
    <w:rPr>
      <w:rFonts w:hint="eastAsia" w:ascii="宋体" w:hAnsi="宋体" w:eastAsia="宋体" w:cs="宋体"/>
      <w:color w:val="000000"/>
      <w:sz w:val="24"/>
      <w:szCs w:val="24"/>
      <w:u w:val="none"/>
    </w:rPr>
  </w:style>
  <w:style w:type="character" w:customStyle="1" w:styleId="206">
    <w:name w:val="font31"/>
    <w:basedOn w:val="33"/>
    <w:qFormat/>
    <w:uiPriority w:val="0"/>
    <w:rPr>
      <w:rFonts w:hint="eastAsia" w:ascii="宋体" w:hAnsi="宋体" w:eastAsia="宋体" w:cs="宋体"/>
      <w:color w:val="000000"/>
      <w:sz w:val="24"/>
      <w:szCs w:val="24"/>
      <w:u w:val="none"/>
    </w:rPr>
  </w:style>
  <w:style w:type="character" w:customStyle="1" w:styleId="207">
    <w:name w:val="font11"/>
    <w:basedOn w:val="33"/>
    <w:uiPriority w:val="0"/>
    <w:rPr>
      <w:rFonts w:hint="eastAsia" w:ascii="宋体" w:hAnsi="宋体" w:eastAsia="宋体"/>
      <w:color w:val="000000"/>
      <w:sz w:val="22"/>
      <w:szCs w:val="22"/>
      <w:u w:val="none"/>
    </w:rPr>
  </w:style>
  <w:style w:type="character" w:customStyle="1" w:styleId="208">
    <w:name w:val="font01"/>
    <w:basedOn w:val="33"/>
    <w:uiPriority w:val="0"/>
    <w:rPr>
      <w:rFonts w:hint="eastAsia" w:ascii="宋体" w:hAnsi="宋体" w:eastAsia="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4EBF4-1C1B-418E-9252-BE8CB63FFF48}">
  <ds:schemaRefs/>
</ds:datastoreItem>
</file>

<file path=docProps/app.xml><?xml version="1.0" encoding="utf-8"?>
<Properties xmlns="http://schemas.openxmlformats.org/officeDocument/2006/extended-properties" xmlns:vt="http://schemas.openxmlformats.org/officeDocument/2006/docPropsVTypes">
  <Template>Normal</Template>
  <Pages>19</Pages>
  <Words>8746</Words>
  <Characters>9653</Characters>
  <Lines>76</Lines>
  <Paragraphs>21</Paragraphs>
  <TotalTime>2</TotalTime>
  <ScaleCrop>false</ScaleCrop>
  <LinksUpToDate>false</LinksUpToDate>
  <CharactersWithSpaces>9892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2022-03-08T02:51:00Z</dcterms:created>
  <dc:creator>zhang jun</dc:creator>
  <cp:lastModifiedBy>金筱竣</cp:lastModifiedBy>
  <dcterms:modified xsi:type="dcterms:W3CDTF">2022-05-19T05:37:55Z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2710EF619615478EA8393153DE1B69F8</vt:lpwstr>
  </property>
</Properties>
</file>